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p>
    <w:p>
      <w:pPr>
        <w:keepNext w:val="0"/>
        <w:keepLines w:val="0"/>
        <w:pageBreakBefore w:val="0"/>
        <w:kinsoku/>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政务</w:t>
      </w:r>
      <w:r>
        <w:rPr>
          <w:rFonts w:hint="eastAsia" w:ascii="方正小标宋简体" w:hAnsi="方正小标宋简体" w:eastAsia="方正小标宋简体" w:cs="方正小标宋简体"/>
          <w:sz w:val="44"/>
          <w:szCs w:val="44"/>
        </w:rPr>
        <w:t>大模型</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rPr>
        <w:t>政务咨询</w:t>
      </w:r>
      <w:r>
        <w:rPr>
          <w:rFonts w:hint="eastAsia" w:ascii="方正小标宋简体" w:hAnsi="方正小标宋简体" w:eastAsia="方正小标宋简体" w:cs="方正小标宋简体"/>
          <w:sz w:val="44"/>
          <w:szCs w:val="44"/>
          <w:lang w:eastAsia="zh-CN"/>
        </w:rPr>
        <w:t>场景）</w:t>
      </w:r>
    </w:p>
    <w:p>
      <w:pPr>
        <w:keepNext w:val="0"/>
        <w:keepLines w:val="0"/>
        <w:pageBreakBefore w:val="0"/>
        <w:kinsoku/>
        <w:overflowPunct/>
        <w:topLinePunct w:val="0"/>
        <w:autoSpaceDE/>
        <w:autoSpaceDN/>
        <w:bidi w:val="0"/>
        <w:adjustRightInd/>
        <w:snapToGrid/>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第二次阶段性测评情况的报告</w:t>
      </w:r>
    </w:p>
    <w:p>
      <w:pPr>
        <w:keepNext w:val="0"/>
        <w:keepLines w:val="0"/>
        <w:pageBreakBefore w:val="0"/>
        <w:kinsoku/>
        <w:overflowPunct/>
        <w:topLinePunct w:val="0"/>
        <w:autoSpaceDE/>
        <w:autoSpaceDN/>
        <w:bidi w:val="0"/>
        <w:adjustRightInd/>
        <w:snapToGrid/>
        <w:spacing w:line="560" w:lineRule="exact"/>
        <w:rPr>
          <w:rFonts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snapToGrid/>
        <w:spacing w:line="560" w:lineRule="exact"/>
        <w:rPr>
          <w:rFonts w:hint="eastAsia" w:ascii="黑体" w:hAnsi="黑体" w:eastAsia="黑体" w:cs="仿宋_GB2312"/>
          <w:sz w:val="32"/>
          <w:szCs w:val="32"/>
        </w:rPr>
      </w:pPr>
      <w:r>
        <w:rPr>
          <w:rFonts w:hint="eastAsia" w:ascii="黑体" w:hAnsi="黑体" w:eastAsia="黑体" w:cs="仿宋_GB2312"/>
          <w:sz w:val="32"/>
          <w:szCs w:val="32"/>
        </w:rPr>
        <w:t>朱琴并彬华同志：</w:t>
      </w:r>
    </w:p>
    <w:p>
      <w:pPr>
        <w:keepNext w:val="0"/>
        <w:keepLines w:val="0"/>
        <w:pageBreakBefore w:val="0"/>
        <w:kinsoku/>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为持续提升政务大模型的问答能力，</w:t>
      </w:r>
      <w:r>
        <w:rPr>
          <w:rFonts w:hint="eastAsia" w:ascii="仿宋_GB2312" w:hAnsi="仿宋_GB2312" w:eastAsia="仿宋_GB2312" w:cs="仿宋_GB2312"/>
          <w:sz w:val="32"/>
          <w:szCs w:val="32"/>
          <w:lang w:eastAsia="zh-CN"/>
        </w:rPr>
        <w:t>我们委托</w:t>
      </w:r>
      <w:r>
        <w:rPr>
          <w:rFonts w:hint="eastAsia" w:ascii="仿宋_GB2312" w:hAnsi="仿宋_GB2312" w:eastAsia="仿宋_GB2312" w:cs="仿宋_GB2312"/>
          <w:sz w:val="32"/>
          <w:szCs w:val="32"/>
          <w:lang w:val="en-US" w:eastAsia="zh-CN"/>
        </w:rPr>
        <w:t>中国</w:t>
      </w:r>
      <w:r>
        <w:rPr>
          <w:rFonts w:hint="eastAsia" w:ascii="仿宋_GB2312" w:hAnsi="仿宋_GB2312" w:eastAsia="仿宋_GB2312" w:cs="仿宋_GB2312"/>
          <w:sz w:val="32"/>
          <w:szCs w:val="32"/>
        </w:rPr>
        <w:t>信通院</w:t>
      </w:r>
      <w:r>
        <w:rPr>
          <w:rFonts w:hint="eastAsia" w:ascii="仿宋_GB2312" w:hAnsi="仿宋_GB2312" w:eastAsia="仿宋_GB2312" w:cs="仿宋_GB2312"/>
          <w:sz w:val="32"/>
          <w:szCs w:val="32"/>
          <w:lang w:val="en-US" w:eastAsia="zh-CN"/>
        </w:rPr>
        <w:t>于11月上旬</w:t>
      </w:r>
      <w:r>
        <w:rPr>
          <w:rFonts w:hint="eastAsia" w:ascii="仿宋_GB2312" w:hAnsi="仿宋_GB2312" w:eastAsia="仿宋_GB2312" w:cs="仿宋_GB2312"/>
          <w:sz w:val="32"/>
          <w:szCs w:val="32"/>
        </w:rPr>
        <w:t>对百度、阿里、智谱3家大模型在公积金、交管、市场监管、不动产登记等4个场景的训练效果开展第二次</w:t>
      </w:r>
      <w:r>
        <w:rPr>
          <w:rFonts w:hint="eastAsia" w:ascii="仿宋_GB2312" w:hAnsi="仿宋_GB2312" w:eastAsia="仿宋_GB2312" w:cs="仿宋_GB2312"/>
          <w:sz w:val="32"/>
          <w:szCs w:val="32"/>
          <w:lang w:eastAsia="zh-CN"/>
        </w:rPr>
        <w:t>阶段性</w:t>
      </w:r>
      <w:r>
        <w:rPr>
          <w:rFonts w:hint="eastAsia" w:ascii="仿宋_GB2312" w:hAnsi="仿宋_GB2312" w:eastAsia="仿宋_GB2312" w:cs="仿宋_GB2312"/>
          <w:sz w:val="32"/>
          <w:szCs w:val="32"/>
        </w:rPr>
        <w:t>测试。现将有关情况报告如下。</w:t>
      </w:r>
    </w:p>
    <w:p>
      <w:pPr>
        <w:keepNext w:val="0"/>
        <w:keepLines w:val="0"/>
        <w:pageBreakBefore w:val="0"/>
        <w:kinsoku/>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一、本次测评组织的基本情况</w:t>
      </w:r>
    </w:p>
    <w:p>
      <w:pPr>
        <w:keepNext w:val="0"/>
        <w:keepLines w:val="0"/>
        <w:pageBreakBefore w:val="0"/>
        <w:kinsoku/>
        <w:overflowPunct/>
        <w:topLinePunct w:val="0"/>
        <w:autoSpaceDE/>
        <w:autoSpaceDN/>
        <w:bidi w:val="0"/>
        <w:adjustRightInd/>
        <w:snapToGrid/>
        <w:spacing w:line="560" w:lineRule="exact"/>
        <w:ind w:firstLine="640" w:firstLineChars="200"/>
        <w:rPr>
          <w:rFonts w:hint="default" w:ascii="仿宋_GB2312" w:hAnsi="Calibri" w:eastAsia="仿宋_GB2312" w:cs="仿宋_GB2312"/>
          <w:bCs/>
          <w:color w:val="000000"/>
          <w:sz w:val="32"/>
          <w:szCs w:val="32"/>
          <w:lang w:val="en-US" w:eastAsia="zh-CN" w:bidi="ar"/>
        </w:rPr>
      </w:pPr>
      <w:r>
        <w:rPr>
          <w:rFonts w:hint="eastAsia" w:ascii="仿宋_GB2312" w:hAnsi="仿宋_GB2312" w:eastAsia="仿宋_GB2312" w:cs="仿宋_GB2312"/>
          <w:sz w:val="32"/>
          <w:szCs w:val="32"/>
        </w:rPr>
        <w:t>本次</w:t>
      </w:r>
      <w:r>
        <w:rPr>
          <w:rFonts w:hint="eastAsia" w:ascii="仿宋_GB2312" w:hAnsi="Calibri" w:eastAsia="仿宋_GB2312" w:cs="仿宋_GB2312"/>
          <w:bCs/>
          <w:color w:val="000000"/>
          <w:sz w:val="32"/>
          <w:szCs w:val="32"/>
          <w:lang w:bidi="ar"/>
        </w:rPr>
        <w:t>阶段性</w:t>
      </w:r>
      <w:r>
        <w:rPr>
          <w:rFonts w:hint="eastAsia" w:ascii="仿宋_GB2312" w:hAnsi="仿宋_GB2312" w:eastAsia="仿宋_GB2312" w:cs="仿宋_GB2312"/>
          <w:sz w:val="32"/>
          <w:szCs w:val="32"/>
        </w:rPr>
        <w:t>测评的主要目的是</w:t>
      </w:r>
      <w:r>
        <w:rPr>
          <w:rFonts w:hint="eastAsia" w:ascii="仿宋_GB2312" w:hAnsi="仿宋_GB2312" w:eastAsia="仿宋_GB2312" w:cs="仿宋_GB2312"/>
          <w:sz w:val="32"/>
          <w:szCs w:val="32"/>
          <w:lang w:val="en-US" w:eastAsia="zh-CN"/>
        </w:rPr>
        <w:t>持续跟踪</w:t>
      </w:r>
      <w:r>
        <w:rPr>
          <w:rFonts w:hint="eastAsia" w:ascii="仿宋_GB2312" w:hAnsi="仿宋_GB2312" w:eastAsia="仿宋_GB2312" w:cs="仿宋_GB2312"/>
          <w:sz w:val="32"/>
          <w:szCs w:val="32"/>
        </w:rPr>
        <w:t>检验大模型训练效果。</w:t>
      </w:r>
      <w:r>
        <w:rPr>
          <w:rFonts w:hint="eastAsia" w:ascii="仿宋_GB2312" w:hAnsi="Calibri" w:eastAsia="仿宋_GB2312" w:cs="仿宋_GB2312"/>
          <w:bCs/>
          <w:color w:val="000000"/>
          <w:sz w:val="32"/>
          <w:szCs w:val="32"/>
          <w:lang w:bidi="ar"/>
        </w:rPr>
        <w:t>测评指标体系</w:t>
      </w:r>
      <w:r>
        <w:rPr>
          <w:rFonts w:hint="eastAsia" w:ascii="仿宋_GB2312" w:hAnsi="Calibri" w:eastAsia="仿宋_GB2312" w:cs="仿宋_GB2312"/>
          <w:bCs/>
          <w:color w:val="000000"/>
          <w:sz w:val="32"/>
          <w:szCs w:val="32"/>
          <w:lang w:val="en-US" w:eastAsia="zh-CN" w:bidi="ar"/>
        </w:rPr>
        <w:t>与第一次阶段性测评保持一致，为更全面掌握各模型的实际成效，大幅增加了测试集数量，使测试用例覆盖高中低频提问并按照难度进行适度分布，同时，将现场测评更改为通过</w:t>
      </w:r>
      <w:r>
        <w:rPr>
          <w:rFonts w:hint="eastAsia" w:ascii="仿宋_GB2312" w:hAnsi="仿宋_GB2312" w:eastAsia="仿宋_GB2312" w:cs="仿宋_GB2312"/>
          <w:sz w:val="32"/>
          <w:szCs w:val="32"/>
        </w:rPr>
        <w:t>A</w:t>
      </w:r>
      <w:r>
        <w:rPr>
          <w:rFonts w:ascii="仿宋_GB2312" w:hAnsi="仿宋_GB2312" w:eastAsia="仿宋_GB2312" w:cs="仿宋_GB2312"/>
          <w:sz w:val="32"/>
          <w:szCs w:val="32"/>
        </w:rPr>
        <w:t>PI</w:t>
      </w:r>
      <w:r>
        <w:rPr>
          <w:rFonts w:hint="eastAsia" w:ascii="仿宋_GB2312" w:hAnsi="仿宋_GB2312" w:eastAsia="仿宋_GB2312" w:cs="仿宋_GB2312"/>
          <w:sz w:val="32"/>
          <w:szCs w:val="32"/>
        </w:rPr>
        <w:t>接口</w:t>
      </w:r>
      <w:r>
        <w:rPr>
          <w:rFonts w:hint="eastAsia" w:ascii="仿宋_GB2312" w:hAnsi="仿宋_GB2312" w:eastAsia="仿宋_GB2312" w:cs="仿宋_GB2312"/>
          <w:sz w:val="32"/>
          <w:szCs w:val="32"/>
          <w:lang w:val="en-US" w:eastAsia="zh-CN"/>
        </w:rPr>
        <w:t>批量</w:t>
      </w:r>
      <w:r>
        <w:rPr>
          <w:rFonts w:hint="eastAsia" w:ascii="仿宋_GB2312" w:hAnsi="仿宋_GB2312" w:eastAsia="仿宋_GB2312" w:cs="仿宋_GB2312"/>
          <w:sz w:val="32"/>
          <w:szCs w:val="32"/>
        </w:rPr>
        <w:t>机跑单轮问答</w:t>
      </w:r>
      <w:r>
        <w:rPr>
          <w:rFonts w:hint="eastAsia" w:ascii="仿宋_GB2312" w:hAnsi="Calibri" w:eastAsia="仿宋_GB2312" w:cs="仿宋_GB2312"/>
          <w:bCs/>
          <w:color w:val="000000"/>
          <w:sz w:val="32"/>
          <w:szCs w:val="32"/>
          <w:lang w:val="en-US" w:eastAsia="zh-CN" w:bidi="ar"/>
        </w:rPr>
        <w:t>后交业务专家评阅打分（除打样部门业务专家外，市级综窗、丰台区综窗、通州区综窗也参与了评阅），同时，多轮部分由业务专家登录强化学习界面进行问答。测试集和业务专家评阅情况见附件。</w:t>
      </w:r>
    </w:p>
    <w:p>
      <w:pPr>
        <w:keepNext w:val="0"/>
        <w:keepLines w:val="0"/>
        <w:pageBreakBefore w:val="0"/>
        <w:kinsoku/>
        <w:overflowPunct/>
        <w:topLinePunct w:val="0"/>
        <w:autoSpaceDE/>
        <w:autoSpaceDN/>
        <w:bidi w:val="0"/>
        <w:adjustRightInd/>
        <w:snapToGrid/>
        <w:spacing w:line="560" w:lineRule="exact"/>
        <w:ind w:firstLine="640" w:firstLineChars="200"/>
        <w:rPr>
          <w:rFonts w:hint="eastAsia" w:ascii="仿宋_GB2312" w:hAnsi="Calibri" w:eastAsia="仿宋_GB2312" w:cs="仿宋_GB2312"/>
          <w:bCs/>
          <w:color w:val="000000"/>
          <w:sz w:val="32"/>
          <w:szCs w:val="32"/>
          <w:lang w:val="en-US" w:eastAsia="zh-CN" w:bidi="ar"/>
        </w:rPr>
      </w:pPr>
      <w:r>
        <w:rPr>
          <w:rFonts w:hint="eastAsia" w:ascii="仿宋_GB2312" w:hAnsi="Calibri" w:eastAsia="仿宋_GB2312" w:cs="仿宋_GB2312"/>
          <w:bCs/>
          <w:color w:val="000000"/>
          <w:sz w:val="32"/>
          <w:szCs w:val="32"/>
          <w:lang w:val="en-US" w:eastAsia="zh-CN" w:bidi="ar"/>
        </w:rPr>
        <w:t>业务专家评阅完成后，我们分别组织大模型企业、打样部门对错题进行了复盘分析。</w:t>
      </w:r>
    </w:p>
    <w:p>
      <w:pPr>
        <w:keepNext w:val="0"/>
        <w:keepLines w:val="0"/>
        <w:pageBreakBefore w:val="0"/>
        <w:kinsoku/>
        <w:overflowPunct/>
        <w:topLinePunct w:val="0"/>
        <w:autoSpaceDE/>
        <w:autoSpaceDN/>
        <w:bidi w:val="0"/>
        <w:adjustRightInd/>
        <w:snapToGrid/>
        <w:spacing w:line="560" w:lineRule="exact"/>
        <w:ind w:firstLine="640" w:firstLineChars="200"/>
        <w:rPr>
          <w:rFonts w:hint="eastAsia" w:ascii="黑体" w:hAnsi="黑体" w:eastAsia="黑体" w:cs="黑体"/>
          <w:bCs/>
          <w:color w:val="000000"/>
          <w:sz w:val="32"/>
          <w:szCs w:val="32"/>
          <w:lang w:val="en-US" w:eastAsia="zh-CN" w:bidi="ar"/>
        </w:rPr>
      </w:pPr>
      <w:r>
        <w:rPr>
          <w:rFonts w:hint="eastAsia" w:ascii="黑体" w:hAnsi="黑体" w:eastAsia="黑体" w:cs="黑体"/>
          <w:bCs/>
          <w:color w:val="000000"/>
          <w:sz w:val="32"/>
          <w:szCs w:val="32"/>
          <w:lang w:val="en-US" w:eastAsia="zh-CN" w:bidi="ar"/>
        </w:rPr>
        <w:t>二、本次测评结果</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（一）大模型业务能力测评</w:t>
      </w:r>
    </w:p>
    <w:tbl>
      <w:tblPr>
        <w:tblStyle w:val="9"/>
        <w:tblW w:w="90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1"/>
        <w:gridCol w:w="1339"/>
        <w:gridCol w:w="1339"/>
        <w:gridCol w:w="1345"/>
        <w:gridCol w:w="1339"/>
        <w:gridCol w:w="1339"/>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061" w:type="dxa"/>
            <w:gridSpan w:val="7"/>
            <w:tcBorders>
              <w:top w:val="single" w:color="000000" w:sz="8" w:space="0"/>
              <w:left w:val="single" w:color="000000" w:sz="8"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公积金场景业务能力评分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轮次</w:t>
            </w:r>
          </w:p>
        </w:tc>
        <w:tc>
          <w:tcPr>
            <w:tcW w:w="4023" w:type="dxa"/>
            <w:gridSpan w:val="3"/>
            <w:tcBorders>
              <w:top w:val="single" w:color="000000" w:sz="4" w:space="0"/>
              <w:left w:val="thinThickThinSmallGap" w:color="000000" w:sz="2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单轮</w:t>
            </w:r>
          </w:p>
        </w:tc>
        <w:tc>
          <w:tcPr>
            <w:tcW w:w="4027" w:type="dxa"/>
            <w:gridSpan w:val="3"/>
            <w:tcBorders>
              <w:top w:val="single" w:color="000000" w:sz="8" w:space="0"/>
              <w:left w:val="thinThickThinSmallGap" w:color="000000" w:sz="24" w:space="0"/>
              <w:bottom w:val="single" w:color="000000" w:sz="8"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多轮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指标</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4"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c>
          <w:tcPr>
            <w:tcW w:w="1339" w:type="dxa"/>
            <w:tcBorders>
              <w:top w:val="single" w:color="000000" w:sz="8"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8"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9" w:type="dxa"/>
            <w:tcBorders>
              <w:top w:val="single" w:color="000000" w:sz="8" w:space="0"/>
              <w:left w:val="single" w:color="000000" w:sz="4"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智谱</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2.96</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2.69</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2.7</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2.78</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2.81</w:t>
            </w:r>
          </w:p>
        </w:tc>
        <w:tc>
          <w:tcPr>
            <w:tcW w:w="1349"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百度</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3.51</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3.07</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3.1</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3.6</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3.72</w:t>
            </w:r>
          </w:p>
        </w:tc>
        <w:tc>
          <w:tcPr>
            <w:tcW w:w="1349"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阿里</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2.66</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2.3</w:t>
            </w:r>
          </w:p>
        </w:tc>
        <w:tc>
          <w:tcPr>
            <w:tcW w:w="1345" w:type="dxa"/>
            <w:tcBorders>
              <w:top w:val="single" w:color="000000" w:sz="4" w:space="0"/>
              <w:left w:val="single" w:color="000000" w:sz="4"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2.3</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3.18</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3.03</w:t>
            </w:r>
          </w:p>
        </w:tc>
        <w:tc>
          <w:tcPr>
            <w:tcW w:w="1349"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061" w:type="dxa"/>
            <w:gridSpan w:val="7"/>
            <w:tcBorders>
              <w:top w:val="single" w:color="000000" w:sz="8" w:space="0"/>
              <w:left w:val="single" w:color="000000" w:sz="8"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交管场景业务能力评分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轮次</w:t>
            </w:r>
          </w:p>
        </w:tc>
        <w:tc>
          <w:tcPr>
            <w:tcW w:w="4023" w:type="dxa"/>
            <w:gridSpan w:val="3"/>
            <w:tcBorders>
              <w:top w:val="single" w:color="000000" w:sz="4" w:space="0"/>
              <w:left w:val="thinThickThinSmallGap" w:color="000000" w:sz="2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单轮</w:t>
            </w:r>
          </w:p>
        </w:tc>
        <w:tc>
          <w:tcPr>
            <w:tcW w:w="4027" w:type="dxa"/>
            <w:gridSpan w:val="3"/>
            <w:tcBorders>
              <w:top w:val="single" w:color="000000" w:sz="8" w:space="0"/>
              <w:left w:val="thinThickThinSmallGap" w:color="000000" w:sz="24" w:space="0"/>
              <w:bottom w:val="single" w:color="000000" w:sz="8"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多轮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指标</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4"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c>
          <w:tcPr>
            <w:tcW w:w="1339" w:type="dxa"/>
            <w:tcBorders>
              <w:top w:val="single" w:color="000000" w:sz="8"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8"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9" w:type="dxa"/>
            <w:tcBorders>
              <w:top w:val="single" w:color="000000" w:sz="8" w:space="0"/>
              <w:left w:val="single" w:color="000000" w:sz="4"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智谱</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1.93</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1.97</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2.1</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c>
          <w:tcPr>
            <w:tcW w:w="1349"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阿里</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2.68</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2.64</w:t>
            </w:r>
          </w:p>
        </w:tc>
        <w:tc>
          <w:tcPr>
            <w:tcW w:w="1345" w:type="dxa"/>
            <w:tcBorders>
              <w:top w:val="single" w:color="000000" w:sz="4" w:space="0"/>
              <w:left w:val="single" w:color="000000" w:sz="4"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2.77</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c>
          <w:tcPr>
            <w:tcW w:w="1349"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061" w:type="dxa"/>
            <w:gridSpan w:val="7"/>
            <w:tcBorders>
              <w:top w:val="single" w:color="000000" w:sz="8" w:space="0"/>
              <w:left w:val="single" w:color="000000" w:sz="8"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市场监管场景业务能力评分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轮次</w:t>
            </w:r>
          </w:p>
        </w:tc>
        <w:tc>
          <w:tcPr>
            <w:tcW w:w="4023" w:type="dxa"/>
            <w:gridSpan w:val="3"/>
            <w:tcBorders>
              <w:top w:val="single" w:color="000000" w:sz="4" w:space="0"/>
              <w:left w:val="thinThickThinSmallGap" w:color="000000" w:sz="2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单轮</w:t>
            </w:r>
          </w:p>
        </w:tc>
        <w:tc>
          <w:tcPr>
            <w:tcW w:w="4027" w:type="dxa"/>
            <w:gridSpan w:val="3"/>
            <w:tcBorders>
              <w:top w:val="single" w:color="000000" w:sz="8" w:space="0"/>
              <w:left w:val="thinThickThinSmallGap" w:color="000000" w:sz="24" w:space="0"/>
              <w:bottom w:val="single" w:color="000000" w:sz="8"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多轮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指标</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4"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c>
          <w:tcPr>
            <w:tcW w:w="1339" w:type="dxa"/>
            <w:tcBorders>
              <w:top w:val="single" w:color="000000" w:sz="8"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8"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9" w:type="dxa"/>
            <w:tcBorders>
              <w:top w:val="single" w:color="000000" w:sz="8" w:space="0"/>
              <w:left w:val="single" w:color="000000" w:sz="4"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百度</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4.66</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4.7</w:t>
            </w:r>
          </w:p>
        </w:tc>
        <w:tc>
          <w:tcPr>
            <w:tcW w:w="1345" w:type="dxa"/>
            <w:tcBorders>
              <w:top w:val="single" w:color="000000" w:sz="4" w:space="0"/>
              <w:left w:val="single" w:color="000000" w:sz="4"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5</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4.36</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4.4</w:t>
            </w:r>
          </w:p>
        </w:tc>
        <w:tc>
          <w:tcPr>
            <w:tcW w:w="1349"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061" w:type="dxa"/>
            <w:gridSpan w:val="7"/>
            <w:tcBorders>
              <w:top w:val="single" w:color="000000" w:sz="8" w:space="0"/>
              <w:left w:val="single" w:color="000000" w:sz="8"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不动产登记场景业务能力评分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轮次</w:t>
            </w:r>
          </w:p>
        </w:tc>
        <w:tc>
          <w:tcPr>
            <w:tcW w:w="4023" w:type="dxa"/>
            <w:gridSpan w:val="3"/>
            <w:tcBorders>
              <w:top w:val="single" w:color="000000" w:sz="4" w:space="0"/>
              <w:left w:val="thinThickThinSmallGap" w:color="000000" w:sz="2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单轮</w:t>
            </w:r>
          </w:p>
        </w:tc>
        <w:tc>
          <w:tcPr>
            <w:tcW w:w="4027" w:type="dxa"/>
            <w:gridSpan w:val="3"/>
            <w:tcBorders>
              <w:top w:val="single" w:color="000000" w:sz="8" w:space="0"/>
              <w:left w:val="thinThickThinSmallGap" w:color="000000" w:sz="24" w:space="0"/>
              <w:bottom w:val="single" w:color="000000" w:sz="8"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多轮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指标</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4"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c>
          <w:tcPr>
            <w:tcW w:w="1339" w:type="dxa"/>
            <w:tcBorders>
              <w:top w:val="single" w:color="000000" w:sz="8" w:space="0"/>
              <w:left w:val="thinThickThinSmallGap" w:color="000000" w:sz="2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准确性</w:t>
            </w:r>
          </w:p>
        </w:tc>
        <w:tc>
          <w:tcPr>
            <w:tcW w:w="1339" w:type="dxa"/>
            <w:tcBorders>
              <w:top w:val="single" w:color="000000" w:sz="8" w:space="0"/>
              <w:left w:val="single" w:color="000000" w:sz="4" w:space="0"/>
              <w:bottom w:val="single" w:color="000000" w:sz="4" w:space="0"/>
              <w:right w:val="single" w:color="000000" w:sz="4"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完整性</w:t>
            </w:r>
          </w:p>
        </w:tc>
        <w:tc>
          <w:tcPr>
            <w:tcW w:w="1349" w:type="dxa"/>
            <w:tcBorders>
              <w:top w:val="single" w:color="000000" w:sz="8" w:space="0"/>
              <w:left w:val="single" w:color="000000" w:sz="4" w:space="0"/>
              <w:bottom w:val="single" w:color="000000" w:sz="4" w:space="0"/>
              <w:right w:val="single" w:color="000000" w:sz="8" w:space="0"/>
            </w:tcBorders>
            <w:shd w:val="clear" w:color="auto" w:fill="E7E6E6"/>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友好性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智谱</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2.14</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2.28</w:t>
            </w:r>
          </w:p>
        </w:tc>
        <w:tc>
          <w:tcPr>
            <w:tcW w:w="1345" w:type="dxa"/>
            <w:tcBorders>
              <w:top w:val="single" w:color="000000" w:sz="4" w:space="0"/>
              <w:left w:val="single" w:color="000000" w:sz="4" w:space="0"/>
              <w:bottom w:val="single" w:color="000000" w:sz="4"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2.64</w:t>
            </w:r>
          </w:p>
        </w:tc>
        <w:tc>
          <w:tcPr>
            <w:tcW w:w="1339" w:type="dxa"/>
            <w:tcBorders>
              <w:top w:val="single" w:color="000000" w:sz="4" w:space="0"/>
              <w:left w:val="thinThickThinSmallGap" w:color="000000" w:sz="2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3.33</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3.5</w:t>
            </w:r>
          </w:p>
        </w:tc>
        <w:tc>
          <w:tcPr>
            <w:tcW w:w="1349"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11" w:type="dxa"/>
            <w:tcBorders>
              <w:top w:val="single" w:color="000000" w:sz="4" w:space="0"/>
              <w:left w:val="single" w:color="000000" w:sz="8"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阿里</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3.17</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3.26</w:t>
            </w:r>
          </w:p>
        </w:tc>
        <w:tc>
          <w:tcPr>
            <w:tcW w:w="1345" w:type="dxa"/>
            <w:tcBorders>
              <w:top w:val="single" w:color="000000" w:sz="4" w:space="0"/>
              <w:left w:val="single" w:color="000000" w:sz="4" w:space="0"/>
              <w:bottom w:val="single" w:color="000000" w:sz="8" w:space="0"/>
              <w:right w:val="thinThickThinSmallGap" w:color="000000" w:sz="2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3.49</w:t>
            </w:r>
          </w:p>
        </w:tc>
        <w:tc>
          <w:tcPr>
            <w:tcW w:w="1339" w:type="dxa"/>
            <w:tcBorders>
              <w:top w:val="single" w:color="000000" w:sz="4" w:space="0"/>
              <w:left w:val="thinThickThinSmallGap" w:color="000000" w:sz="2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3.67</w:t>
            </w:r>
          </w:p>
        </w:tc>
        <w:tc>
          <w:tcPr>
            <w:tcW w:w="1339"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4.08</w:t>
            </w:r>
          </w:p>
        </w:tc>
        <w:tc>
          <w:tcPr>
            <w:tcW w:w="1349"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560" w:lineRule="exact"/>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14:ligatures w14:val="standardContextual"/>
              </w:rPr>
              <w:t>3.83</w:t>
            </w:r>
          </w:p>
        </w:tc>
      </w:tr>
    </w:tbl>
    <w:p>
      <w:pPr>
        <w:keepNext w:val="0"/>
        <w:keepLines w:val="0"/>
        <w:pageBreakBefore w:val="0"/>
        <w:kinsoku/>
        <w:overflowPunct/>
        <w:topLinePunct w:val="0"/>
        <w:autoSpaceDE/>
        <w:autoSpaceDN/>
        <w:bidi w:val="0"/>
        <w:adjustRightInd/>
        <w:snapToGrid/>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）大模型</w:t>
      </w:r>
      <w:r>
        <w:rPr>
          <w:rFonts w:hint="eastAsia" w:ascii="楷体_GB2312" w:hAnsi="楷体_GB2312" w:eastAsia="楷体_GB2312" w:cs="楷体_GB2312"/>
          <w:b/>
          <w:bCs/>
          <w:sz w:val="32"/>
          <w:szCs w:val="32"/>
          <w:lang w:val="en-US" w:eastAsia="zh-CN"/>
        </w:rPr>
        <w:t>通用</w:t>
      </w:r>
      <w:r>
        <w:rPr>
          <w:rFonts w:hint="eastAsia" w:ascii="楷体_GB2312" w:hAnsi="楷体_GB2312" w:eastAsia="楷体_GB2312" w:cs="楷体_GB2312"/>
          <w:b/>
          <w:bCs/>
          <w:sz w:val="32"/>
          <w:szCs w:val="32"/>
        </w:rPr>
        <w:t>能力测评</w:t>
      </w:r>
    </w:p>
    <w:p>
      <w:pPr>
        <w:keepNext w:val="0"/>
        <w:keepLines w:val="0"/>
        <w:pageBreakBefore w:val="0"/>
        <w:kinsoku/>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业务分类测试中，智谱、阿里（均为88%）略高于百度（86%）；在意图分类测试上，阿里、百度（均为96.5%）平均准确率高于智谱（94%）；在指代消歧测试上，百度（85%）表现优于阿里（80%）和智谱（75%）；在阅读理解测试中，三家大模型表现相近，均未出现明显知识点错误，从生成答案与标准答案相似度来看，通过每题得分横向对比，百度8题得最优分、智谱和阿里分别6题得最优分。</w:t>
      </w:r>
    </w:p>
    <w:p>
      <w:pPr>
        <w:keepNext w:val="0"/>
        <w:keepLines w:val="0"/>
        <w:pageBreakBefore w:val="0"/>
        <w:kinsoku/>
        <w:overflowPunct/>
        <w:topLinePunct w:val="0"/>
        <w:autoSpaceDE/>
        <w:autoSpaceDN/>
        <w:bidi w:val="0"/>
        <w:adjustRightInd/>
        <w:snapToGrid/>
        <w:spacing w:line="560" w:lineRule="exact"/>
        <w:ind w:firstLine="643" w:firstLineChars="200"/>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（三）第一次、第二次测评结果对比</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一是本轮测评得分下滑，但不代表模型能力倒退。</w:t>
      </w:r>
      <w:r>
        <w:rPr>
          <w:rFonts w:hint="eastAsia" w:ascii="仿宋_GB2312" w:hAnsi="仿宋_GB2312" w:eastAsia="仿宋_GB2312" w:cs="仿宋_GB2312"/>
          <w:sz w:val="32"/>
          <w:szCs w:val="32"/>
          <w:lang w:val="en-US" w:eastAsia="zh-CN"/>
        </w:rPr>
        <w:t>本次测评中，各单位直观评价各模型的表现均有较大提升。但是，测评结果计分上看，三个模型的整体综合得分出现不同程度下滑，个别模型下滑较明显。主要原因：一是本次测评测试集用例数量较第一次大幅增加，业务覆盖较全面，所考察的知识点和模型能力点多；二是较难提问数量明显增加，测评难度提升。其中，市公积金中心在测评过程中补充组织了一次专项测试，提供公积金接线员月考测试场景共计127道题目，智谱、阿里的判断正确率分别为65%、69%（百度未参与），准确率提升较为明显。</w:t>
      </w:r>
    </w:p>
    <w:p>
      <w:pPr>
        <w:keepNext w:val="0"/>
        <w:keepLines w:val="0"/>
        <w:pageBreakBefore w:val="0"/>
        <w:kinsoku/>
        <w:overflowPunct/>
        <w:topLinePunct w:val="0"/>
        <w:autoSpaceDE/>
        <w:autoSpaceDN/>
        <w:bidi w:val="0"/>
        <w:adjustRightInd/>
        <w:snapToGrid/>
        <w:spacing w:line="56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二是本轮多轮问答能力整体提升较高。</w:t>
      </w:r>
      <w:r>
        <w:rPr>
          <w:rFonts w:hint="eastAsia" w:ascii="仿宋_GB2312" w:hAnsi="仿宋_GB2312" w:eastAsia="仿宋_GB2312" w:cs="仿宋_GB2312"/>
          <w:sz w:val="32"/>
          <w:szCs w:val="32"/>
          <w:lang w:val="en-US" w:eastAsia="zh-CN"/>
        </w:rPr>
        <w:t>对于条件提供不全的提问，能够逐步澄清，帮助用户确定真实诉求。百度和阿里在公积金场景多轮效果上表现较为明显，无论准确度、完整性得分均高于第一次。</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lang w:val="en-US" w:eastAsia="zh-CN"/>
        </w:rPr>
        <w:t>三是从大模型表现来看，百度表现较为突出，</w:t>
      </w:r>
      <w:r>
        <w:rPr>
          <w:rFonts w:hint="eastAsia" w:ascii="仿宋_GB2312" w:hAnsi="仿宋_GB2312" w:eastAsia="仿宋_GB2312" w:cs="仿宋_GB2312"/>
          <w:sz w:val="32"/>
          <w:szCs w:val="32"/>
          <w:lang w:val="en-US" w:eastAsia="zh-CN"/>
        </w:rPr>
        <w:t>在两个结对场景单轮和公积金场景多轮均降幅较小，无论在公积金场景还是市场监管场景得分均较高。</w:t>
      </w:r>
      <w:r>
        <w:rPr>
          <w:rFonts w:hint="eastAsia" w:ascii="仿宋_GB2312" w:hAnsi="仿宋_GB2312" w:eastAsia="仿宋_GB2312" w:cs="仿宋_GB2312"/>
          <w:b/>
          <w:bCs/>
          <w:sz w:val="32"/>
          <w:szCs w:val="32"/>
          <w:lang w:val="en-US" w:eastAsia="zh-CN"/>
        </w:rPr>
        <w:t>阿里在本轮进步明显，</w:t>
      </w:r>
      <w:r>
        <w:rPr>
          <w:rFonts w:hint="eastAsia" w:ascii="仿宋_GB2312" w:hAnsi="仿宋_GB2312" w:eastAsia="仿宋_GB2312" w:cs="仿宋_GB2312"/>
          <w:sz w:val="32"/>
          <w:szCs w:val="32"/>
          <w:lang w:val="en-US" w:eastAsia="zh-CN"/>
        </w:rPr>
        <w:t>尤其在交管场景的完整性和准确性上得分均有提升。</w:t>
      </w:r>
      <w:r>
        <w:rPr>
          <w:rFonts w:hint="eastAsia" w:ascii="仿宋_GB2312" w:hAnsi="仿宋_GB2312" w:eastAsia="仿宋_GB2312" w:cs="仿宋_GB2312"/>
          <w:b/>
          <w:bCs/>
          <w:sz w:val="32"/>
          <w:szCs w:val="32"/>
          <w:lang w:val="en-US" w:eastAsia="zh-CN"/>
        </w:rPr>
        <w:t>智谱本轮表现失常，</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highlight w:val="none"/>
          <w:lang w:val="en-US" w:eastAsia="zh-CN"/>
        </w:rPr>
        <w:t>各结对场景的单轮和多轮表现均不稳定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得分偏低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下降最为明显</w:t>
      </w:r>
      <w:r>
        <w:rPr>
          <w:rFonts w:hint="eastAsia" w:ascii="仿宋_GB2312" w:hAnsi="仿宋_GB2312" w:eastAsia="仿宋_GB2312" w:cs="仿宋_GB2312"/>
          <w:sz w:val="32"/>
          <w:szCs w:val="32"/>
          <w:lang w:val="en-US" w:eastAsia="zh-CN"/>
        </w:rPr>
        <w:t>（智谱表示本轮表现失常的原因是代码上传错误）</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0" w:firstLineChars="200"/>
        <w:rPr>
          <w:rFonts w:hint="default" w:ascii="黑体" w:hAnsi="黑体" w:eastAsia="黑体" w:cs="黑体"/>
          <w:bCs/>
          <w:color w:val="000000"/>
          <w:sz w:val="32"/>
          <w:szCs w:val="32"/>
          <w:lang w:val="en-US" w:eastAsia="zh-CN" w:bidi="ar"/>
        </w:rPr>
      </w:pPr>
      <w:r>
        <w:rPr>
          <w:rFonts w:hint="eastAsia" w:ascii="黑体" w:hAnsi="黑体" w:eastAsia="黑体" w:cs="黑体"/>
          <w:bCs/>
          <w:color w:val="000000"/>
          <w:sz w:val="32"/>
          <w:szCs w:val="32"/>
          <w:lang w:val="en-US" w:eastAsia="zh-CN" w:bidi="ar"/>
        </w:rPr>
        <w:t>三、测评分析</w:t>
      </w:r>
    </w:p>
    <w:p>
      <w:pPr>
        <w:pStyle w:val="5"/>
        <w:keepNext w:val="0"/>
        <w:keepLines w:val="0"/>
        <w:pageBreakBefore w:val="0"/>
        <w:kinsoku/>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本次测评难度较大，但也更接近真实场景。通过对本次测评结果以及两次测评的对比分析，结合与各单位、模型企业复盘、分析的情况，在大模型训练和工作推进上有如下特点：</w:t>
      </w:r>
    </w:p>
    <w:p>
      <w:pPr>
        <w:pStyle w:val="5"/>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highlight w:val="yellow"/>
          <w:lang w:val="en-US" w:eastAsia="zh-CN"/>
        </w:rPr>
      </w:pPr>
      <w:r>
        <w:rPr>
          <w:rFonts w:hint="eastAsia" w:ascii="楷体_GB2312" w:hAnsi="仿宋_GB2312" w:eastAsia="楷体_GB2312" w:cs="仿宋_GB2312"/>
          <w:b/>
          <w:bCs/>
          <w:sz w:val="32"/>
          <w:szCs w:val="32"/>
          <w:lang w:val="en-US" w:eastAsia="zh-CN"/>
        </w:rPr>
        <w:t>（一）大模型技术问题还需突破。</w:t>
      </w:r>
      <w:r>
        <w:rPr>
          <w:rFonts w:hint="eastAsia" w:ascii="仿宋_GB2312" w:hAnsi="仿宋_GB2312" w:eastAsia="仿宋_GB2312" w:cs="仿宋_GB2312"/>
          <w:sz w:val="32"/>
          <w:szCs w:val="32"/>
          <w:lang w:val="en-US" w:eastAsia="zh-CN"/>
        </w:rPr>
        <w:t>第一次摸底测试发现的问题中，除多轮得到明显优化外，其余问题依然未能在测评期内得到有效解决。此外，又发现了</w:t>
      </w:r>
      <w:r>
        <w:rPr>
          <w:rFonts w:hint="default" w:ascii="仿宋_GB2312" w:hAnsi="仿宋_GB2312" w:eastAsia="仿宋_GB2312" w:cs="仿宋_GB2312"/>
          <w:sz w:val="32"/>
          <w:szCs w:val="32"/>
          <w:lang w:val="en-US" w:eastAsia="zh-CN"/>
        </w:rPr>
        <w:t>同一诉求涉及跨业务时跳出当前语境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知识树在某种程度上对简单问题反而</w:t>
      </w:r>
      <w:r>
        <w:rPr>
          <w:rFonts w:hint="eastAsia" w:ascii="仿宋_GB2312" w:hAnsi="仿宋_GB2312" w:eastAsia="仿宋_GB2312" w:cs="仿宋_GB2312"/>
          <w:sz w:val="32"/>
          <w:szCs w:val="32"/>
          <w:lang w:val="en-US" w:eastAsia="zh-CN"/>
        </w:rPr>
        <w:t>产</w:t>
      </w:r>
      <w:r>
        <w:rPr>
          <w:rFonts w:hint="default" w:ascii="仿宋_GB2312" w:hAnsi="仿宋_GB2312" w:eastAsia="仿宋_GB2312" w:cs="仿宋_GB2312"/>
          <w:sz w:val="32"/>
          <w:szCs w:val="32"/>
          <w:lang w:val="en-US" w:eastAsia="zh-CN"/>
        </w:rPr>
        <w:t>生干扰</w:t>
      </w:r>
      <w:r>
        <w:rPr>
          <w:rFonts w:hint="eastAsia" w:ascii="仿宋_GB2312" w:hAnsi="仿宋_GB2312" w:eastAsia="仿宋_GB2312" w:cs="仿宋_GB2312"/>
          <w:sz w:val="32"/>
          <w:szCs w:val="32"/>
          <w:lang w:val="en-US" w:eastAsia="zh-CN"/>
        </w:rPr>
        <w:t>等新问题。总的来看，目前主要有三大类原因，分别是</w:t>
      </w:r>
      <w:r>
        <w:rPr>
          <w:rFonts w:hint="default" w:ascii="仿宋_GB2312" w:hAnsi="仿宋_GB2312" w:eastAsia="仿宋_GB2312" w:cs="仿宋_GB2312"/>
          <w:sz w:val="32"/>
          <w:szCs w:val="32"/>
          <w:lang w:val="en-US" w:eastAsia="zh-CN"/>
        </w:rPr>
        <w:t>基础模型能力</w:t>
      </w:r>
      <w:r>
        <w:rPr>
          <w:rFonts w:hint="eastAsia" w:ascii="仿宋_GB2312" w:hAnsi="仿宋_GB2312" w:eastAsia="仿宋_GB2312" w:cs="仿宋_GB2312"/>
          <w:sz w:val="32"/>
          <w:szCs w:val="32"/>
          <w:lang w:val="en-US" w:eastAsia="zh-CN"/>
        </w:rPr>
        <w:t>不足或衔接不好、</w:t>
      </w:r>
      <w:r>
        <w:rPr>
          <w:rFonts w:hint="default" w:ascii="仿宋_GB2312" w:hAnsi="仿宋_GB2312" w:eastAsia="仿宋_GB2312" w:cs="仿宋_GB2312"/>
          <w:sz w:val="32"/>
          <w:szCs w:val="32"/>
          <w:lang w:val="en-US" w:eastAsia="zh-CN"/>
        </w:rPr>
        <w:t>外挂知识库能力</w:t>
      </w:r>
      <w:r>
        <w:rPr>
          <w:rFonts w:hint="eastAsia" w:ascii="仿宋_GB2312" w:hAnsi="仿宋_GB2312" w:eastAsia="仿宋_GB2312" w:cs="仿宋_GB2312"/>
          <w:sz w:val="32"/>
          <w:szCs w:val="32"/>
          <w:lang w:val="en-US" w:eastAsia="zh-CN"/>
        </w:rPr>
        <w:t>缺陷、业务</w:t>
      </w:r>
      <w:r>
        <w:rPr>
          <w:rFonts w:hint="default" w:ascii="仿宋_GB2312" w:hAnsi="仿宋_GB2312" w:eastAsia="仿宋_GB2312" w:cs="仿宋_GB2312"/>
          <w:sz w:val="32"/>
          <w:szCs w:val="32"/>
          <w:lang w:val="en-US" w:eastAsia="zh-CN"/>
        </w:rPr>
        <w:t>知识</w:t>
      </w:r>
      <w:r>
        <w:rPr>
          <w:rFonts w:hint="eastAsia" w:ascii="仿宋_GB2312" w:hAnsi="仿宋_GB2312" w:eastAsia="仿宋_GB2312" w:cs="仿宋_GB2312"/>
          <w:sz w:val="32"/>
          <w:szCs w:val="32"/>
          <w:lang w:val="en-US" w:eastAsia="zh-CN"/>
        </w:rPr>
        <w:t>理解不透彻，需要分别加以解决。比如，政务术语口语化匹配依然是导致无法识别用户问题的一大障碍，对政务知识进行专题化处理（比如，按大模型指令的方式提供政务术语表）可增进模型对业务知识的理解。</w:t>
      </w:r>
    </w:p>
    <w:p>
      <w:pPr>
        <w:pStyle w:val="5"/>
        <w:keepNext w:val="0"/>
        <w:keepLines w:val="0"/>
        <w:pageBreakBefore w:val="0"/>
        <w:kinsoku/>
        <w:overflowPunct/>
        <w:topLinePunct w:val="0"/>
        <w:autoSpaceDE/>
        <w:autoSpaceDN/>
        <w:bidi w:val="0"/>
        <w:adjustRightInd/>
        <w:snapToGrid/>
        <w:spacing w:line="560" w:lineRule="exact"/>
        <w:ind w:firstLine="643" w:firstLineChars="200"/>
        <w:rPr>
          <w:rFonts w:hint="default" w:ascii="仿宋_GB2312" w:hAnsi="仿宋_GB2312" w:eastAsia="仿宋_GB2312" w:cs="仿宋_GB2312"/>
          <w:sz w:val="32"/>
          <w:szCs w:val="32"/>
          <w:lang w:val="en-US"/>
        </w:rPr>
      </w:pP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二</w:t>
      </w: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大模型知识更新能力还需优化</w:t>
      </w:r>
      <w:r>
        <w:rPr>
          <w:rFonts w:hint="eastAsia" w:ascii="楷体_GB2312" w:hAnsi="仿宋_GB2312" w:eastAsia="楷体_GB2312" w:cs="仿宋_GB2312"/>
          <w:b/>
          <w:bCs/>
          <w:sz w:val="32"/>
          <w:szCs w:val="32"/>
        </w:rPr>
        <w:t>。</w:t>
      </w:r>
      <w:r>
        <w:rPr>
          <w:rFonts w:hint="eastAsia" w:ascii="仿宋_GB2312" w:hAnsi="仿宋_GB2312" w:eastAsia="仿宋_GB2312" w:cs="仿宋_GB2312"/>
          <w:sz w:val="32"/>
          <w:szCs w:val="32"/>
        </w:rPr>
        <w:t>正式测试前1天</w:t>
      </w:r>
      <w:r>
        <w:rPr>
          <w:rFonts w:hint="eastAsia" w:ascii="仿宋_GB2312" w:hAnsi="仿宋_GB2312" w:eastAsia="仿宋_GB2312" w:cs="仿宋_GB2312"/>
          <w:sz w:val="32"/>
          <w:szCs w:val="32"/>
          <w:lang w:val="en-US" w:eastAsia="zh-CN"/>
        </w:rPr>
        <w:t>市公积金中心</w:t>
      </w:r>
      <w:r>
        <w:rPr>
          <w:rFonts w:hint="eastAsia" w:ascii="仿宋_GB2312" w:hAnsi="仿宋_GB2312" w:eastAsia="仿宋_GB2312" w:cs="仿宋_GB2312"/>
          <w:sz w:val="32"/>
          <w:szCs w:val="32"/>
        </w:rPr>
        <w:t>下发了新政及配套解读，</w:t>
      </w:r>
      <w:r>
        <w:rPr>
          <w:rFonts w:hint="eastAsia" w:ascii="仿宋_GB2312" w:hAnsi="仿宋_GB2312" w:eastAsia="仿宋_GB2312" w:cs="仿宋_GB2312"/>
          <w:sz w:val="32"/>
          <w:szCs w:val="32"/>
          <w:lang w:val="en-US" w:eastAsia="zh-CN"/>
        </w:rPr>
        <w:t>我们特别</w:t>
      </w:r>
      <w:r>
        <w:rPr>
          <w:rFonts w:hint="eastAsia" w:ascii="仿宋_GB2312" w:hAnsi="仿宋_GB2312" w:eastAsia="仿宋_GB2312" w:cs="仿宋_GB2312"/>
          <w:sz w:val="32"/>
          <w:szCs w:val="32"/>
        </w:rPr>
        <w:t>编写10道测试</w:t>
      </w:r>
      <w:r>
        <w:rPr>
          <w:rFonts w:hint="eastAsia" w:ascii="仿宋_GB2312" w:hAnsi="仿宋_GB2312" w:eastAsia="仿宋_GB2312" w:cs="仿宋_GB2312"/>
          <w:sz w:val="32"/>
          <w:szCs w:val="32"/>
          <w:lang w:val="en-US" w:eastAsia="zh-CN"/>
        </w:rPr>
        <w:t>用例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智谱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百度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阿里分别答对8题、6题和</w:t>
      </w:r>
      <w:r>
        <w:rPr>
          <w:rFonts w:hint="eastAsia" w:ascii="仿宋_GB2312" w:hAnsi="仿宋_GB2312" w:eastAsia="仿宋_GB2312" w:cs="仿宋_GB2312"/>
          <w:sz w:val="32"/>
          <w:szCs w:val="32"/>
        </w:rPr>
        <w:t>4题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说明各模型已经具有了一定的知识更新能力，但是，若考题答案涉及新旧政策组合的情况，3家大模型企业均无法做出正确或完整的答复。各模型企业需与业务部门共同探索通过创新技术路径来实现与业务的高度融合，寻找治理知识的最佳路径。</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三</w:t>
      </w: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测试集及强化学习量需扩大</w:t>
      </w:r>
      <w:r>
        <w:rPr>
          <w:rFonts w:hint="eastAsia" w:ascii="楷体_GB2312" w:hAnsi="仿宋_GB2312" w:eastAsia="楷体_GB2312" w:cs="仿宋_GB2312"/>
          <w:b/>
          <w:bCs/>
          <w:sz w:val="32"/>
          <w:szCs w:val="32"/>
        </w:rPr>
        <w:t>。</w:t>
      </w:r>
      <w:r>
        <w:rPr>
          <w:rFonts w:hint="eastAsia" w:ascii="仿宋_GB2312" w:hAnsi="仿宋_GB2312" w:eastAsia="仿宋_GB2312" w:cs="仿宋_GB2312"/>
          <w:sz w:val="32"/>
          <w:szCs w:val="32"/>
          <w:lang w:val="en-US" w:eastAsia="zh-CN"/>
        </w:rPr>
        <w:t>前期由于各模型总体效果不尽如人意，不具备大规模开展强化学习的基础。从当前实际测评效果和各模型进展来看，业务部门强化学习的数量对模型“改错”迭代影响较大。大模型企业反映，目前收集到的强化学习和测评集</w:t>
      </w:r>
      <w:r>
        <w:rPr>
          <w:rFonts w:hint="eastAsia" w:ascii="仿宋_GB2312" w:hAnsi="仿宋_GB2312" w:eastAsia="仿宋_GB2312" w:cs="仿宋_GB2312"/>
          <w:sz w:val="32"/>
          <w:szCs w:val="32"/>
        </w:rPr>
        <w:t>数据量</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仅</w:t>
      </w:r>
      <w:r>
        <w:rPr>
          <w:rFonts w:hint="eastAsia" w:ascii="仿宋_GB2312" w:hAnsi="仿宋_GB2312" w:eastAsia="仿宋_GB2312" w:cs="仿宋_GB2312"/>
          <w:sz w:val="32"/>
          <w:szCs w:val="32"/>
        </w:rPr>
        <w:t>几百个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不具备对基础模型进行大规模训练的条件，</w:t>
      </w:r>
      <w:r>
        <w:rPr>
          <w:rFonts w:hint="eastAsia" w:ascii="仿宋_GB2312" w:hAnsi="仿宋_GB2312" w:eastAsia="仿宋_GB2312" w:cs="仿宋_GB2312"/>
          <w:sz w:val="32"/>
          <w:szCs w:val="32"/>
        </w:rPr>
        <w:t>至少需要几万数据来</w:t>
      </w:r>
      <w:r>
        <w:rPr>
          <w:rFonts w:hint="eastAsia" w:ascii="仿宋_GB2312" w:hAnsi="仿宋_GB2312" w:eastAsia="仿宋_GB2312" w:cs="仿宋_GB2312"/>
          <w:sz w:val="32"/>
          <w:szCs w:val="32"/>
          <w:lang w:val="en-US" w:eastAsia="zh-CN"/>
        </w:rPr>
        <w:t>帮助大模型</w:t>
      </w:r>
      <w:r>
        <w:rPr>
          <w:rFonts w:hint="eastAsia" w:ascii="仿宋_GB2312" w:hAnsi="仿宋_GB2312" w:eastAsia="仿宋_GB2312" w:cs="仿宋_GB2312"/>
          <w:sz w:val="32"/>
          <w:szCs w:val="32"/>
        </w:rPr>
        <w:t>理解</w:t>
      </w:r>
      <w:r>
        <w:rPr>
          <w:rFonts w:hint="eastAsia" w:ascii="仿宋_GB2312" w:hAnsi="仿宋_GB2312" w:eastAsia="仿宋_GB2312" w:cs="仿宋_GB2312"/>
          <w:sz w:val="32"/>
          <w:szCs w:val="32"/>
          <w:lang w:val="en-US" w:eastAsia="zh-CN"/>
        </w:rPr>
        <w:t>政务</w:t>
      </w:r>
      <w:r>
        <w:rPr>
          <w:rFonts w:hint="eastAsia" w:ascii="仿宋_GB2312" w:hAnsi="仿宋_GB2312" w:eastAsia="仿宋_GB2312" w:cs="仿宋_GB2312"/>
          <w:sz w:val="32"/>
          <w:szCs w:val="32"/>
        </w:rPr>
        <w:t>专业名词、</w:t>
      </w:r>
      <w:r>
        <w:rPr>
          <w:rFonts w:hint="eastAsia" w:ascii="仿宋_GB2312" w:hAnsi="仿宋_GB2312" w:eastAsia="仿宋_GB2312" w:cs="仿宋_GB2312"/>
          <w:sz w:val="32"/>
          <w:szCs w:val="32"/>
          <w:lang w:val="en-US" w:eastAsia="zh-CN"/>
        </w:rPr>
        <w:t>增强</w:t>
      </w:r>
      <w:r>
        <w:rPr>
          <w:rFonts w:hint="eastAsia" w:ascii="仿宋_GB2312" w:hAnsi="仿宋_GB2312" w:eastAsia="仿宋_GB2312" w:cs="仿宋_GB2312"/>
          <w:sz w:val="32"/>
          <w:szCs w:val="32"/>
        </w:rPr>
        <w:t>推理能力，</w:t>
      </w:r>
      <w:r>
        <w:rPr>
          <w:rFonts w:hint="eastAsia" w:ascii="仿宋_GB2312" w:hAnsi="仿宋_GB2312" w:eastAsia="仿宋_GB2312" w:cs="仿宋_GB2312"/>
          <w:sz w:val="32"/>
          <w:szCs w:val="32"/>
          <w:lang w:val="en-US" w:eastAsia="zh-CN"/>
        </w:rPr>
        <w:t>提升</w:t>
      </w:r>
      <w:r>
        <w:rPr>
          <w:rFonts w:hint="eastAsia" w:ascii="仿宋_GB2312" w:hAnsi="仿宋_GB2312" w:eastAsia="仿宋_GB2312" w:cs="仿宋_GB2312"/>
          <w:sz w:val="32"/>
          <w:szCs w:val="32"/>
        </w:rPr>
        <w:t>训练效果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同时，由于部分场景（比如规自委）专业性太强，大模型企业无法自行法优化，仍然需要业务部门深度参与。</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四</w:t>
      </w:r>
      <w:r>
        <w:rPr>
          <w:rFonts w:hint="eastAsia" w:ascii="楷体_GB2312" w:hAnsi="仿宋_GB2312" w:eastAsia="楷体_GB2312" w:cs="仿宋_GB2312"/>
          <w:b/>
          <w:bCs/>
          <w:sz w:val="32"/>
          <w:szCs w:val="32"/>
        </w:rPr>
        <w:t>）</w:t>
      </w:r>
      <w:r>
        <w:rPr>
          <w:rFonts w:hint="eastAsia" w:ascii="楷体_GB2312" w:hAnsi="仿宋_GB2312" w:eastAsia="楷体_GB2312" w:cs="仿宋_GB2312"/>
          <w:b/>
          <w:bCs/>
          <w:sz w:val="32"/>
          <w:szCs w:val="32"/>
          <w:lang w:val="en-US" w:eastAsia="zh-CN"/>
        </w:rPr>
        <w:t>模型稳定性问题较为突出</w:t>
      </w:r>
      <w:r>
        <w:rPr>
          <w:rFonts w:hint="eastAsia" w:ascii="楷体_GB2312" w:hAnsi="仿宋_GB2312" w:eastAsia="楷体_GB2312" w:cs="仿宋_GB2312"/>
          <w:b/>
          <w:bCs/>
          <w:sz w:val="32"/>
          <w:szCs w:val="32"/>
        </w:rPr>
        <w:t>。</w:t>
      </w:r>
      <w:r>
        <w:rPr>
          <w:rFonts w:hint="eastAsia" w:ascii="仿宋_GB2312" w:hAnsi="仿宋_GB2312" w:eastAsia="仿宋_GB2312" w:cs="仿宋_GB2312"/>
          <w:sz w:val="32"/>
          <w:szCs w:val="32"/>
          <w:lang w:val="en-US" w:eastAsia="zh-CN"/>
        </w:rPr>
        <w:t>在组织大模型企业与打样部门复盘的过程中，我们发现，除百度外，阿里和智谱模型的问答效果持续发生变化，企业反馈原因为：模型和外挂知识库一直处于不断技术调试、上下文指令改写、知识补充替换清理以及算法优化过程中。这从另一个方面说明，两家大模型企业技术实现方式仍然没有完全成熟。</w:t>
      </w:r>
    </w:p>
    <w:p>
      <w:pPr>
        <w:keepNext w:val="0"/>
        <w:keepLines w:val="0"/>
        <w:pageBreakBefore w:val="0"/>
        <w:kinsoku/>
        <w:overflowPunct/>
        <w:topLinePunct w:val="0"/>
        <w:autoSpaceDE/>
        <w:autoSpaceDN/>
        <w:bidi w:val="0"/>
        <w:adjustRightInd/>
        <w:snapToGrid/>
        <w:spacing w:line="560" w:lineRule="exact"/>
        <w:ind w:firstLine="640" w:firstLineChars="200"/>
        <w:rPr>
          <w:rFonts w:hint="default" w:ascii="黑体" w:hAnsi="黑体" w:eastAsia="黑体" w:cs="黑体"/>
          <w:bCs/>
          <w:color w:val="000000"/>
          <w:sz w:val="32"/>
          <w:szCs w:val="32"/>
          <w:lang w:val="en-US" w:eastAsia="zh-CN" w:bidi="ar"/>
        </w:rPr>
      </w:pPr>
      <w:r>
        <w:rPr>
          <w:rFonts w:hint="eastAsia" w:ascii="黑体" w:hAnsi="黑体" w:eastAsia="黑体" w:cs="黑体"/>
          <w:bCs/>
          <w:color w:val="000000"/>
          <w:sz w:val="32"/>
          <w:szCs w:val="32"/>
          <w:lang w:val="en-US" w:eastAsia="zh-CN" w:bidi="ar"/>
        </w:rPr>
        <w:t>四、下一步工作建议</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lang w:val="en-US" w:eastAsia="zh-CN"/>
        </w:rPr>
        <w:t>（一）启动场景内部试用。</w:t>
      </w:r>
      <w:r>
        <w:rPr>
          <w:rFonts w:hint="eastAsia" w:ascii="仿宋_GB2312" w:hAnsi="仿宋_GB2312" w:eastAsia="仿宋_GB2312" w:cs="仿宋_GB2312"/>
          <w:sz w:val="32"/>
          <w:szCs w:val="32"/>
          <w:lang w:val="en-US" w:eastAsia="zh-CN"/>
        </w:rPr>
        <w:t>目前，公积金中心、市市场监管局均表示可启动内部试用。计划按场景制定内部试用方案，尽快推动“边用边测边改”，确保收集足够量的真实提问。我们将做好统筹工作，对打样部门的内部试用方案提出规范和程序，联合业务单位、大模型企业持续定期测评、复盘、分析、补充和治理知识，探寻最佳技术提升路径和业务使用模式，确保大模型表现稳定。</w:t>
      </w:r>
    </w:p>
    <w:p>
      <w:pPr>
        <w:keepNext w:val="0"/>
        <w:keepLines w:val="0"/>
        <w:pageBreakBefore w:val="0"/>
        <w:kinsoku/>
        <w:overflowPunct/>
        <w:topLinePunct w:val="0"/>
        <w:autoSpaceDE/>
        <w:autoSpaceDN/>
        <w:bidi w:val="0"/>
        <w:adjustRightInd/>
        <w:snapToGrid/>
        <w:spacing w:line="560" w:lineRule="exact"/>
        <w:ind w:firstLine="643" w:firstLineChars="200"/>
        <w:rPr>
          <w:rFonts w:hint="default"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lang w:val="en-US" w:eastAsia="zh-CN"/>
        </w:rPr>
        <w:t>（二）优化测评方式，使测评工作更具可对比性。</w:t>
      </w:r>
      <w:r>
        <w:rPr>
          <w:rFonts w:hint="eastAsia" w:ascii="仿宋_GB2312" w:hAnsi="仿宋_GB2312" w:eastAsia="仿宋_GB2312" w:cs="仿宋_GB2312"/>
          <w:sz w:val="32"/>
          <w:szCs w:val="32"/>
          <w:lang w:val="en-US" w:eastAsia="zh-CN"/>
        </w:rPr>
        <w:t>总结两次测评工作情况，对测试集、业务专家评测方式、大模型企业配合方式、计分方式等进行细致复盘、优化，建立全市统一的测试集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使测试工作常态化，</w:t>
      </w:r>
      <w:r>
        <w:rPr>
          <w:rFonts w:hint="eastAsia" w:ascii="仿宋_GB2312" w:hAnsi="仿宋_GB2312" w:eastAsia="仿宋_GB2312" w:cs="仿宋_GB2312"/>
          <w:sz w:val="32"/>
          <w:szCs w:val="32"/>
        </w:rPr>
        <w:t>跟踪监测模型成长变化趋势</w:t>
      </w:r>
      <w:r>
        <w:rPr>
          <w:rFonts w:hint="eastAsia" w:ascii="仿宋_GB2312" w:hAnsi="仿宋_GB2312" w:eastAsia="仿宋_GB2312" w:cs="仿宋_GB2312"/>
          <w:sz w:val="32"/>
          <w:szCs w:val="32"/>
          <w:lang w:val="en-US" w:eastAsia="zh-CN"/>
        </w:rPr>
        <w:t>，在帮助模型能力提升同时，绘制模型成长曲线，为下一步模型选择提供数据基础。</w:t>
      </w:r>
    </w:p>
    <w:p>
      <w:pPr>
        <w:keepNext w:val="0"/>
        <w:keepLines w:val="0"/>
        <w:pageBreakBefore w:val="0"/>
        <w:kinsoku/>
        <w:overflowPunct/>
        <w:topLinePunct w:val="0"/>
        <w:autoSpaceDE/>
        <w:autoSpaceDN/>
        <w:bidi w:val="0"/>
        <w:adjustRightInd/>
        <w:snapToGrid/>
        <w:spacing w:line="560" w:lineRule="exact"/>
        <w:ind w:firstLine="643" w:firstLineChars="200"/>
        <w:rPr>
          <w:rFonts w:hint="default" w:ascii="楷体_GB2312" w:hAnsi="仿宋_GB2312" w:eastAsia="楷体_GB2312" w:cs="仿宋_GB2312"/>
          <w:b/>
          <w:bCs/>
          <w:sz w:val="32"/>
          <w:szCs w:val="32"/>
          <w:lang w:val="en-US" w:eastAsia="zh-CN"/>
        </w:rPr>
      </w:pPr>
      <w:r>
        <w:rPr>
          <w:rFonts w:hint="eastAsia" w:ascii="楷体_GB2312" w:hAnsi="仿宋_GB2312" w:eastAsia="楷体_GB2312" w:cs="仿宋_GB2312"/>
          <w:b/>
          <w:bCs/>
          <w:sz w:val="32"/>
          <w:szCs w:val="32"/>
          <w:lang w:val="en-US" w:eastAsia="zh-CN"/>
        </w:rPr>
        <w:t>（三）开展安全测评。</w:t>
      </w:r>
      <w:r>
        <w:rPr>
          <w:rFonts w:hint="eastAsia" w:ascii="仿宋_GB2312" w:hAnsi="仿宋_GB2312" w:eastAsia="仿宋_GB2312" w:cs="仿宋_GB2312"/>
          <w:sz w:val="32"/>
          <w:szCs w:val="32"/>
          <w:lang w:val="en-US" w:eastAsia="zh-CN"/>
        </w:rPr>
        <w:t>由市委网信办根据政务问答的特点制定内容安全、舆情安全、网络安全方面的评测指标和测评方案，开展安全方面的测评工作。</w:t>
      </w:r>
    </w:p>
    <w:p>
      <w:pPr>
        <w:keepNext w:val="0"/>
        <w:keepLines w:val="0"/>
        <w:pageBreakBefore w:val="0"/>
        <w:kinsoku/>
        <w:overflowPunct/>
        <w:topLinePunct w:val="0"/>
        <w:autoSpaceDE/>
        <w:autoSpaceDN/>
        <w:bidi w:val="0"/>
        <w:adjustRightInd/>
        <w:snapToGrid/>
        <w:spacing w:line="560" w:lineRule="exact"/>
        <w:ind w:firstLine="643" w:firstLineChars="200"/>
        <w:rPr>
          <w:rFonts w:hint="eastAsia"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lang w:val="en-US" w:eastAsia="zh-CN"/>
        </w:rPr>
        <w:t>（四）组织专家指导技术优化问题。</w:t>
      </w:r>
      <w:r>
        <w:rPr>
          <w:rFonts w:hint="eastAsia" w:ascii="仿宋_GB2312" w:hAnsi="仿宋_GB2312" w:eastAsia="仿宋_GB2312" w:cs="仿宋_GB2312"/>
          <w:sz w:val="32"/>
          <w:szCs w:val="32"/>
          <w:lang w:val="en-US" w:eastAsia="zh-CN"/>
        </w:rPr>
        <w:t>与市科委、市经信局联合，</w:t>
      </w:r>
      <w:r>
        <w:rPr>
          <w:rFonts w:hint="eastAsia" w:ascii="仿宋_GB2312" w:hAnsi="仿宋_GB2312" w:eastAsia="仿宋_GB2312" w:cs="仿宋_GB2312"/>
          <w:sz w:val="32"/>
          <w:szCs w:val="32"/>
        </w:rPr>
        <w:t>围绕大模型</w:t>
      </w:r>
      <w:r>
        <w:rPr>
          <w:rFonts w:hint="eastAsia" w:ascii="仿宋_GB2312" w:hAnsi="仿宋_GB2312" w:eastAsia="仿宋_GB2312" w:cs="仿宋_GB2312"/>
          <w:sz w:val="32"/>
          <w:szCs w:val="32"/>
          <w:lang w:val="en-US" w:eastAsia="zh-CN"/>
        </w:rPr>
        <w:t>表现以及技术落地方式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寻找技术、高校、企业、业务等各方面的专家，共同探讨有关垂直模型能力强化、表现</w:t>
      </w:r>
      <w:r>
        <w:rPr>
          <w:rFonts w:hint="eastAsia" w:ascii="仿宋_GB2312" w:hAnsi="仿宋_GB2312" w:eastAsia="仿宋_GB2312" w:cs="仿宋_GB2312"/>
          <w:sz w:val="32"/>
          <w:szCs w:val="32"/>
        </w:rPr>
        <w:t>不稳定</w:t>
      </w:r>
      <w:r>
        <w:rPr>
          <w:rFonts w:hint="eastAsia" w:ascii="仿宋_GB2312" w:hAnsi="仿宋_GB2312" w:eastAsia="仿宋_GB2312" w:cs="仿宋_GB2312"/>
          <w:sz w:val="32"/>
          <w:szCs w:val="32"/>
          <w:lang w:val="en-US" w:eastAsia="zh-CN"/>
        </w:rPr>
        <w:t>以及波动等方面的解决办法。</w:t>
      </w:r>
    </w:p>
    <w:p>
      <w:pPr>
        <w:keepNext w:val="0"/>
        <w:keepLines w:val="0"/>
        <w:pageBreakBefore w:val="0"/>
        <w:kinsoku/>
        <w:overflowPunct/>
        <w:topLinePunct w:val="0"/>
        <w:autoSpaceDE/>
        <w:autoSpaceDN/>
        <w:bidi w:val="0"/>
        <w:adjustRightInd/>
        <w:snapToGrid/>
        <w:spacing w:line="560" w:lineRule="exact"/>
        <w:ind w:firstLine="643" w:firstLineChars="200"/>
        <w:rPr>
          <w:rFonts w:hint="default" w:ascii="仿宋_GB2312" w:hAnsi="仿宋_GB2312" w:eastAsia="仿宋_GB2312" w:cs="仿宋_GB2312"/>
          <w:sz w:val="32"/>
          <w:szCs w:val="32"/>
          <w:lang w:val="en-US" w:eastAsia="zh-CN"/>
        </w:rPr>
      </w:pPr>
      <w:r>
        <w:rPr>
          <w:rFonts w:hint="eastAsia" w:ascii="楷体_GB2312" w:hAnsi="仿宋_GB2312" w:eastAsia="楷体_GB2312" w:cs="仿宋_GB2312"/>
          <w:b/>
          <w:bCs/>
          <w:sz w:val="32"/>
          <w:szCs w:val="32"/>
          <w:lang w:val="en-US" w:eastAsia="zh-CN"/>
        </w:rPr>
        <w:t>（五）启动研究大模型落地模式。</w:t>
      </w:r>
      <w:r>
        <w:rPr>
          <w:rFonts w:hint="eastAsia" w:ascii="仿宋_GB2312" w:hAnsi="仿宋_GB2312" w:eastAsia="仿宋_GB2312" w:cs="仿宋_GB2312"/>
          <w:sz w:val="32"/>
          <w:szCs w:val="32"/>
          <w:lang w:val="en-US" w:eastAsia="zh-CN"/>
        </w:rPr>
        <w:t>自启动至今，“赛马”已近8个月，各大模型均取得一定成效，拟联合市经信局、市科委、市委网信办共同研究大模型选择、落地部署以及项目化方面的工作。</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特此报告。</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snapToGrid/>
        <w:spacing w:line="560" w:lineRule="exact"/>
        <w:ind w:left="1809" w:leftChars="301" w:hanging="1177" w:hangingChars="368"/>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关于第二次摸底测评测试集及业务专家评阅</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情况</w:t>
      </w:r>
      <w:bookmarkStart w:id="0" w:name="_GoBack"/>
      <w:bookmarkEnd w:id="0"/>
      <w:r>
        <w:rPr>
          <w:rFonts w:hint="eastAsia" w:ascii="仿宋_GB2312" w:hAnsi="仿宋_GB2312" w:eastAsia="仿宋_GB2312" w:cs="仿宋_GB2312"/>
          <w:sz w:val="32"/>
          <w:szCs w:val="32"/>
          <w:lang w:val="en-US" w:eastAsia="zh-CN"/>
        </w:rPr>
        <w:t>说明</w:t>
      </w:r>
    </w:p>
    <w:p>
      <w:pPr>
        <w:keepNext w:val="0"/>
        <w:keepLines w:val="0"/>
        <w:pageBreakBefore w:val="0"/>
        <w:kinsoku/>
        <w:overflowPunct/>
        <w:topLinePunct w:val="0"/>
        <w:autoSpaceDE/>
        <w:autoSpaceDN/>
        <w:bidi w:val="0"/>
        <w:adjustRightInd/>
        <w:snapToGrid/>
        <w:spacing w:line="560" w:lineRule="exact"/>
        <w:ind w:left="0" w:leftChars="0" w:firstLine="1478" w:firstLineChars="462"/>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测评报告（2</w:t>
      </w:r>
      <w:r>
        <w:rPr>
          <w:rFonts w:ascii="仿宋_GB2312" w:hAnsi="仿宋_GB2312" w:eastAsia="仿宋_GB2312" w:cs="仿宋_GB2312"/>
          <w:sz w:val="32"/>
          <w:szCs w:val="32"/>
          <w:highlight w:val="none"/>
        </w:rPr>
        <w:t>023</w:t>
      </w:r>
      <w:r>
        <w:rPr>
          <w:rFonts w:hint="eastAsia" w:ascii="仿宋_GB2312" w:hAnsi="仿宋_GB2312" w:eastAsia="仿宋_GB2312" w:cs="仿宋_GB2312"/>
          <w:sz w:val="32"/>
          <w:szCs w:val="32"/>
          <w:highlight w:val="none"/>
        </w:rPr>
        <w:t>年1</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w:t>
      </w:r>
    </w:p>
    <w:p>
      <w:pPr>
        <w:keepNext w:val="0"/>
        <w:keepLines w:val="0"/>
        <w:pageBreakBefore w:val="0"/>
        <w:kinsoku/>
        <w:overflowPunct/>
        <w:topLinePunct w:val="0"/>
        <w:autoSpaceDE/>
        <w:autoSpaceDN/>
        <w:bidi w:val="0"/>
        <w:adjustRightInd/>
        <w:snapToGrid/>
        <w:spacing w:line="560" w:lineRule="exact"/>
        <w:rPr>
          <w:rFonts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snapToGrid/>
        <w:spacing w:line="560" w:lineRule="exact"/>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政府网站</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lang w:eastAsia="zh-CN"/>
        </w:rPr>
        <w:t>管理</w:t>
      </w:r>
      <w:r>
        <w:rPr>
          <w:rFonts w:hint="eastAsia" w:ascii="仿宋_GB2312" w:hAnsi="仿宋_GB2312" w:eastAsia="仿宋_GB2312" w:cs="仿宋_GB2312"/>
          <w:sz w:val="32"/>
          <w:szCs w:val="32"/>
        </w:rPr>
        <w:t>处</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snapToGrid/>
        <w:spacing w:line="560" w:lineRule="exact"/>
        <w:ind w:firstLine="4480" w:firstLineChars="14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首都之窗运行管理中心</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val="0"/>
        <w:overflowPunct/>
        <w:topLinePunct w:val="0"/>
        <w:autoSpaceDE/>
        <w:autoSpaceDN/>
        <w:bidi w:val="0"/>
        <w:adjustRightInd/>
        <w:snapToGrid/>
        <w:spacing w:line="560" w:lineRule="exact"/>
        <w:ind w:firstLine="640" w:firstLineChars="200"/>
        <w:jc w:val="right"/>
        <w:rPr>
          <w:rFonts w:hint="default" w:ascii="仿宋_GB2312" w:hAnsi="仿宋_GB2312" w:eastAsia="仿宋_GB2312" w:cs="仿宋_GB2312"/>
          <w:sz w:val="32"/>
          <w:szCs w:val="32"/>
          <w:lang w:val="en-US" w:eastAsia="zh-CN"/>
        </w:rPr>
      </w:pPr>
      <w:r>
        <w:rPr>
          <w:rFonts w:ascii="仿宋_GB2312" w:hAnsi="仿宋_GB2312" w:eastAsia="仿宋_GB2312" w:cs="仿宋_GB2312"/>
          <w:sz w:val="32"/>
          <w:szCs w:val="32"/>
        </w:rPr>
        <w:t>2023年1</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p>
      <w:pPr>
        <w:keepNext w:val="0"/>
        <w:keepLines w:val="0"/>
        <w:pageBreakBefore w:val="0"/>
        <w:kinsoku/>
        <w:overflowPunct/>
        <w:topLinePunct w:val="0"/>
        <w:autoSpaceDE/>
        <w:autoSpaceDN/>
        <w:bidi w:val="0"/>
        <w:adjustRightInd/>
        <w:snapToGrid/>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（承办：</w:t>
      </w:r>
      <w:r>
        <w:rPr>
          <w:rFonts w:hint="eastAsia" w:ascii="仿宋_GB2312" w:hAnsi="仿宋_GB2312" w:eastAsia="仿宋_GB2312" w:cs="仿宋_GB2312"/>
          <w:sz w:val="32"/>
          <w:szCs w:val="32"/>
          <w:highlight w:val="none"/>
          <w:lang w:val="en-US" w:eastAsia="zh-CN"/>
        </w:rPr>
        <w:t>赵珣阳</w:t>
      </w:r>
      <w:r>
        <w:rPr>
          <w:rFonts w:hint="eastAsia" w:ascii="仿宋_GB2312" w:hAnsi="仿宋_GB2312" w:eastAsia="仿宋_GB2312" w:cs="仿宋_GB2312"/>
          <w:sz w:val="32"/>
          <w:szCs w:val="32"/>
          <w:highlight w:val="none"/>
        </w:rPr>
        <w:t>；复核：韩昉，5</w:t>
      </w:r>
      <w:r>
        <w:rPr>
          <w:rFonts w:ascii="仿宋_GB2312" w:hAnsi="仿宋_GB2312" w:eastAsia="仿宋_GB2312" w:cs="仿宋_GB2312"/>
          <w:sz w:val="32"/>
          <w:szCs w:val="32"/>
          <w:highlight w:val="none"/>
        </w:rPr>
        <w:t>1958</w:t>
      </w:r>
      <w:r>
        <w:rPr>
          <w:rFonts w:hint="eastAsia" w:ascii="仿宋_GB2312" w:hAnsi="仿宋_GB2312" w:eastAsia="仿宋_GB2312" w:cs="仿宋_GB2312"/>
          <w:sz w:val="32"/>
          <w:szCs w:val="32"/>
          <w:highlight w:val="none"/>
        </w:rPr>
        <w:t>；审核：张莉、刘莎）</w:t>
      </w:r>
    </w:p>
    <w:p>
      <w:pPr>
        <w:keepNext w:val="0"/>
        <w:keepLines w:val="0"/>
        <w:pageBreakBefore w:val="0"/>
        <w:kinsoku/>
        <w:overflowPunct/>
        <w:topLinePunct w:val="0"/>
        <w:autoSpaceDE/>
        <w:autoSpaceDN/>
        <w:bidi w:val="0"/>
        <w:adjustRightInd/>
        <w:snapToGrid/>
        <w:spacing w:line="560" w:lineRule="exact"/>
        <w:rPr>
          <w:rFonts w:hint="eastAsia" w:ascii="黑体" w:hAnsi="黑体" w:eastAsia="黑体" w:cs="黑体"/>
          <w:sz w:val="32"/>
          <w:szCs w:val="32"/>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Microsoft YaHei UI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ODk1ODg1NjliNjNiYzNmYzQyMTVlYmUyYjI4MTcifQ=="/>
  </w:docVars>
  <w:rsids>
    <w:rsidRoot w:val="0054023A"/>
    <w:rsid w:val="00007516"/>
    <w:rsid w:val="00007D10"/>
    <w:rsid w:val="00014371"/>
    <w:rsid w:val="00037268"/>
    <w:rsid w:val="0006723F"/>
    <w:rsid w:val="000B524C"/>
    <w:rsid w:val="000E7C81"/>
    <w:rsid w:val="001627C7"/>
    <w:rsid w:val="001701D5"/>
    <w:rsid w:val="002015B3"/>
    <w:rsid w:val="00201D34"/>
    <w:rsid w:val="00217407"/>
    <w:rsid w:val="00233842"/>
    <w:rsid w:val="00253575"/>
    <w:rsid w:val="002737D0"/>
    <w:rsid w:val="00297F52"/>
    <w:rsid w:val="002D1C24"/>
    <w:rsid w:val="0032312C"/>
    <w:rsid w:val="003467D7"/>
    <w:rsid w:val="00377C6C"/>
    <w:rsid w:val="003A12B9"/>
    <w:rsid w:val="003A65E0"/>
    <w:rsid w:val="003F23CE"/>
    <w:rsid w:val="003F3C36"/>
    <w:rsid w:val="00437313"/>
    <w:rsid w:val="004678CF"/>
    <w:rsid w:val="00487163"/>
    <w:rsid w:val="004C0804"/>
    <w:rsid w:val="004C4C4C"/>
    <w:rsid w:val="004D5493"/>
    <w:rsid w:val="00500B09"/>
    <w:rsid w:val="00501DF6"/>
    <w:rsid w:val="005145DD"/>
    <w:rsid w:val="0054023A"/>
    <w:rsid w:val="00565C50"/>
    <w:rsid w:val="00577CC2"/>
    <w:rsid w:val="00593A18"/>
    <w:rsid w:val="005A03E9"/>
    <w:rsid w:val="005B7291"/>
    <w:rsid w:val="005C7AEA"/>
    <w:rsid w:val="005F232E"/>
    <w:rsid w:val="00612345"/>
    <w:rsid w:val="006A4673"/>
    <w:rsid w:val="006D6D31"/>
    <w:rsid w:val="006F0EF9"/>
    <w:rsid w:val="0071588B"/>
    <w:rsid w:val="00744826"/>
    <w:rsid w:val="007668C6"/>
    <w:rsid w:val="0077009C"/>
    <w:rsid w:val="00780D20"/>
    <w:rsid w:val="007F6CFB"/>
    <w:rsid w:val="00803971"/>
    <w:rsid w:val="00814376"/>
    <w:rsid w:val="00842501"/>
    <w:rsid w:val="00885E84"/>
    <w:rsid w:val="008D6DEB"/>
    <w:rsid w:val="00957BC5"/>
    <w:rsid w:val="0098399D"/>
    <w:rsid w:val="009C7294"/>
    <w:rsid w:val="009F68BD"/>
    <w:rsid w:val="00A36F57"/>
    <w:rsid w:val="00A40AFB"/>
    <w:rsid w:val="00A41C28"/>
    <w:rsid w:val="00A706CD"/>
    <w:rsid w:val="00AB3947"/>
    <w:rsid w:val="00AC7BED"/>
    <w:rsid w:val="00B71188"/>
    <w:rsid w:val="00B7194D"/>
    <w:rsid w:val="00B73395"/>
    <w:rsid w:val="00B761A8"/>
    <w:rsid w:val="00BA636B"/>
    <w:rsid w:val="00BC593C"/>
    <w:rsid w:val="00BD5D91"/>
    <w:rsid w:val="00BF7CD0"/>
    <w:rsid w:val="00C06969"/>
    <w:rsid w:val="00C6776E"/>
    <w:rsid w:val="00C71CE7"/>
    <w:rsid w:val="00C8351C"/>
    <w:rsid w:val="00CC486D"/>
    <w:rsid w:val="00CD770C"/>
    <w:rsid w:val="00D41E05"/>
    <w:rsid w:val="00D506CD"/>
    <w:rsid w:val="00D544E6"/>
    <w:rsid w:val="00D55AC4"/>
    <w:rsid w:val="00D7583D"/>
    <w:rsid w:val="00DE0BED"/>
    <w:rsid w:val="00E02D25"/>
    <w:rsid w:val="00E737FC"/>
    <w:rsid w:val="00E8227C"/>
    <w:rsid w:val="00E850BC"/>
    <w:rsid w:val="00EB20AF"/>
    <w:rsid w:val="00F32CA1"/>
    <w:rsid w:val="00F35B2F"/>
    <w:rsid w:val="00F54070"/>
    <w:rsid w:val="00F60EB3"/>
    <w:rsid w:val="00F90706"/>
    <w:rsid w:val="00FD112F"/>
    <w:rsid w:val="00FE034E"/>
    <w:rsid w:val="00FF61B7"/>
    <w:rsid w:val="01804A4C"/>
    <w:rsid w:val="018B05C1"/>
    <w:rsid w:val="0314369E"/>
    <w:rsid w:val="041A1BF4"/>
    <w:rsid w:val="04B862AB"/>
    <w:rsid w:val="051E0804"/>
    <w:rsid w:val="056B1570"/>
    <w:rsid w:val="0571302A"/>
    <w:rsid w:val="05FC0D1F"/>
    <w:rsid w:val="0614788F"/>
    <w:rsid w:val="06383399"/>
    <w:rsid w:val="069114AA"/>
    <w:rsid w:val="06C10CC6"/>
    <w:rsid w:val="071F1DDD"/>
    <w:rsid w:val="076444C8"/>
    <w:rsid w:val="083E0085"/>
    <w:rsid w:val="08856DEC"/>
    <w:rsid w:val="088F37C7"/>
    <w:rsid w:val="08984115"/>
    <w:rsid w:val="08B80A3D"/>
    <w:rsid w:val="08EC2454"/>
    <w:rsid w:val="092B7994"/>
    <w:rsid w:val="095F67F0"/>
    <w:rsid w:val="09970B85"/>
    <w:rsid w:val="09D14869"/>
    <w:rsid w:val="0A2F0E0C"/>
    <w:rsid w:val="0A475B6E"/>
    <w:rsid w:val="0A4915B2"/>
    <w:rsid w:val="0ADC21A0"/>
    <w:rsid w:val="0B266665"/>
    <w:rsid w:val="0BBC48D3"/>
    <w:rsid w:val="0BFB189F"/>
    <w:rsid w:val="0C0149DC"/>
    <w:rsid w:val="0C4452E8"/>
    <w:rsid w:val="0CE02843"/>
    <w:rsid w:val="0D2E4D21"/>
    <w:rsid w:val="0DEE2D3E"/>
    <w:rsid w:val="0E260B91"/>
    <w:rsid w:val="0E8B5A86"/>
    <w:rsid w:val="0EC8358F"/>
    <w:rsid w:val="0F0E18EA"/>
    <w:rsid w:val="0F624BA4"/>
    <w:rsid w:val="0F7D25CB"/>
    <w:rsid w:val="0FCA7264"/>
    <w:rsid w:val="101326CF"/>
    <w:rsid w:val="10234972"/>
    <w:rsid w:val="10234F21"/>
    <w:rsid w:val="103958F6"/>
    <w:rsid w:val="10B463A5"/>
    <w:rsid w:val="112371A2"/>
    <w:rsid w:val="114F7F97"/>
    <w:rsid w:val="11B20478"/>
    <w:rsid w:val="11B81FE1"/>
    <w:rsid w:val="11BC4606"/>
    <w:rsid w:val="11C77C16"/>
    <w:rsid w:val="120A14EC"/>
    <w:rsid w:val="12333415"/>
    <w:rsid w:val="13D1738A"/>
    <w:rsid w:val="13ED3F23"/>
    <w:rsid w:val="14A9758F"/>
    <w:rsid w:val="14DE3B0C"/>
    <w:rsid w:val="14F41471"/>
    <w:rsid w:val="15170DCC"/>
    <w:rsid w:val="15B21174"/>
    <w:rsid w:val="15ED57C8"/>
    <w:rsid w:val="1612568D"/>
    <w:rsid w:val="164D16D3"/>
    <w:rsid w:val="16922165"/>
    <w:rsid w:val="16E55D1E"/>
    <w:rsid w:val="1780534F"/>
    <w:rsid w:val="179056A4"/>
    <w:rsid w:val="17C4348D"/>
    <w:rsid w:val="18090EA0"/>
    <w:rsid w:val="185E35CE"/>
    <w:rsid w:val="18EB67F8"/>
    <w:rsid w:val="19410B0E"/>
    <w:rsid w:val="19636CD6"/>
    <w:rsid w:val="19B25567"/>
    <w:rsid w:val="19D047FF"/>
    <w:rsid w:val="19E80F89"/>
    <w:rsid w:val="1A761B40"/>
    <w:rsid w:val="1AF03B8E"/>
    <w:rsid w:val="1B285AE1"/>
    <w:rsid w:val="1C1E1760"/>
    <w:rsid w:val="1C784734"/>
    <w:rsid w:val="1CC7757C"/>
    <w:rsid w:val="1D091942"/>
    <w:rsid w:val="1D483B5E"/>
    <w:rsid w:val="1E86636B"/>
    <w:rsid w:val="1ECF190D"/>
    <w:rsid w:val="1EF26B32"/>
    <w:rsid w:val="1F1D7927"/>
    <w:rsid w:val="1F7074E6"/>
    <w:rsid w:val="20140D2A"/>
    <w:rsid w:val="202B1BD0"/>
    <w:rsid w:val="20AC6EB2"/>
    <w:rsid w:val="20D41340"/>
    <w:rsid w:val="22097CEF"/>
    <w:rsid w:val="22892085"/>
    <w:rsid w:val="229062E4"/>
    <w:rsid w:val="22A87507"/>
    <w:rsid w:val="22C00CF5"/>
    <w:rsid w:val="23B559BC"/>
    <w:rsid w:val="23EC0177"/>
    <w:rsid w:val="24031DD6"/>
    <w:rsid w:val="24977233"/>
    <w:rsid w:val="24A00025"/>
    <w:rsid w:val="24CC1BD3"/>
    <w:rsid w:val="24DE652B"/>
    <w:rsid w:val="255E522A"/>
    <w:rsid w:val="25714529"/>
    <w:rsid w:val="261A0B19"/>
    <w:rsid w:val="26663961"/>
    <w:rsid w:val="270D216B"/>
    <w:rsid w:val="271B0BF0"/>
    <w:rsid w:val="27A877A0"/>
    <w:rsid w:val="27D93806"/>
    <w:rsid w:val="28126D74"/>
    <w:rsid w:val="28E86CDC"/>
    <w:rsid w:val="29363ABF"/>
    <w:rsid w:val="29D303B0"/>
    <w:rsid w:val="2A0C2A72"/>
    <w:rsid w:val="2A4346E5"/>
    <w:rsid w:val="2ABB3C04"/>
    <w:rsid w:val="2AEA6B6C"/>
    <w:rsid w:val="2B512E32"/>
    <w:rsid w:val="2BA56CDA"/>
    <w:rsid w:val="2BAE2033"/>
    <w:rsid w:val="2BD663F2"/>
    <w:rsid w:val="2C001512"/>
    <w:rsid w:val="2C0A5091"/>
    <w:rsid w:val="2C3F3A1F"/>
    <w:rsid w:val="2CEB4BC0"/>
    <w:rsid w:val="2D4367AA"/>
    <w:rsid w:val="2DF83A39"/>
    <w:rsid w:val="2E4427DA"/>
    <w:rsid w:val="2E4E3659"/>
    <w:rsid w:val="2E6478CE"/>
    <w:rsid w:val="2E861045"/>
    <w:rsid w:val="2E951151"/>
    <w:rsid w:val="2ECD2838"/>
    <w:rsid w:val="2FC260AC"/>
    <w:rsid w:val="30A02DE0"/>
    <w:rsid w:val="30C72FFF"/>
    <w:rsid w:val="315C20AA"/>
    <w:rsid w:val="31666F0B"/>
    <w:rsid w:val="325D20BC"/>
    <w:rsid w:val="32676A97"/>
    <w:rsid w:val="32E30A75"/>
    <w:rsid w:val="32F271CE"/>
    <w:rsid w:val="333E1EEE"/>
    <w:rsid w:val="337269C6"/>
    <w:rsid w:val="33865643"/>
    <w:rsid w:val="33A1422B"/>
    <w:rsid w:val="34256C0A"/>
    <w:rsid w:val="3428494C"/>
    <w:rsid w:val="342A2529"/>
    <w:rsid w:val="34A915E9"/>
    <w:rsid w:val="34C93A39"/>
    <w:rsid w:val="34D50630"/>
    <w:rsid w:val="350A42A4"/>
    <w:rsid w:val="35224766"/>
    <w:rsid w:val="3544129A"/>
    <w:rsid w:val="355D23D3"/>
    <w:rsid w:val="3560120F"/>
    <w:rsid w:val="35843E04"/>
    <w:rsid w:val="35BC04CA"/>
    <w:rsid w:val="3736112E"/>
    <w:rsid w:val="38157392"/>
    <w:rsid w:val="38890DEE"/>
    <w:rsid w:val="38B17DEF"/>
    <w:rsid w:val="393E01A9"/>
    <w:rsid w:val="39596574"/>
    <w:rsid w:val="39B12743"/>
    <w:rsid w:val="39D47424"/>
    <w:rsid w:val="3A0146B6"/>
    <w:rsid w:val="3A103EB8"/>
    <w:rsid w:val="3A1C0AAF"/>
    <w:rsid w:val="3A886145"/>
    <w:rsid w:val="3AA22139"/>
    <w:rsid w:val="3B0979C5"/>
    <w:rsid w:val="3B5B1163"/>
    <w:rsid w:val="3B6C3370"/>
    <w:rsid w:val="3B8D2A72"/>
    <w:rsid w:val="3BAB3E99"/>
    <w:rsid w:val="3C151709"/>
    <w:rsid w:val="3C5618DA"/>
    <w:rsid w:val="3D247F1A"/>
    <w:rsid w:val="3D3F041E"/>
    <w:rsid w:val="3D6D039C"/>
    <w:rsid w:val="3E16494E"/>
    <w:rsid w:val="3EE04C6E"/>
    <w:rsid w:val="3F2006FA"/>
    <w:rsid w:val="3F7B7BC4"/>
    <w:rsid w:val="3FCC0881"/>
    <w:rsid w:val="3FDE6257"/>
    <w:rsid w:val="400F652D"/>
    <w:rsid w:val="401144E6"/>
    <w:rsid w:val="401813E0"/>
    <w:rsid w:val="40461447"/>
    <w:rsid w:val="404D19C2"/>
    <w:rsid w:val="40E678F4"/>
    <w:rsid w:val="41357118"/>
    <w:rsid w:val="41894CD7"/>
    <w:rsid w:val="42061C36"/>
    <w:rsid w:val="428B0580"/>
    <w:rsid w:val="42E13849"/>
    <w:rsid w:val="43866F99"/>
    <w:rsid w:val="43A5714B"/>
    <w:rsid w:val="43B25162"/>
    <w:rsid w:val="43CB4E1E"/>
    <w:rsid w:val="43E33AE0"/>
    <w:rsid w:val="43F8536F"/>
    <w:rsid w:val="440E782A"/>
    <w:rsid w:val="4419591C"/>
    <w:rsid w:val="44CB543D"/>
    <w:rsid w:val="44D97CC8"/>
    <w:rsid w:val="44DF4BB3"/>
    <w:rsid w:val="453018B3"/>
    <w:rsid w:val="4537679D"/>
    <w:rsid w:val="45591E7C"/>
    <w:rsid w:val="458319E2"/>
    <w:rsid w:val="45885CF0"/>
    <w:rsid w:val="45CA7611"/>
    <w:rsid w:val="45EA7CB3"/>
    <w:rsid w:val="4609111C"/>
    <w:rsid w:val="461A2A0E"/>
    <w:rsid w:val="46413968"/>
    <w:rsid w:val="464C2799"/>
    <w:rsid w:val="467632F5"/>
    <w:rsid w:val="477535AD"/>
    <w:rsid w:val="47863A0C"/>
    <w:rsid w:val="47B246C5"/>
    <w:rsid w:val="47E56F93"/>
    <w:rsid w:val="48E94252"/>
    <w:rsid w:val="48EA34EB"/>
    <w:rsid w:val="49FE5ADB"/>
    <w:rsid w:val="4A630034"/>
    <w:rsid w:val="4B193028"/>
    <w:rsid w:val="4B946370"/>
    <w:rsid w:val="4C417F01"/>
    <w:rsid w:val="4C6C1338"/>
    <w:rsid w:val="4C8A18A8"/>
    <w:rsid w:val="4CB03384"/>
    <w:rsid w:val="4CC47FAB"/>
    <w:rsid w:val="4D6640C3"/>
    <w:rsid w:val="4DDD1F0D"/>
    <w:rsid w:val="4E33049A"/>
    <w:rsid w:val="4E3B7B85"/>
    <w:rsid w:val="4E742810"/>
    <w:rsid w:val="4ED17C62"/>
    <w:rsid w:val="4F0F2539"/>
    <w:rsid w:val="4F304989"/>
    <w:rsid w:val="5051105B"/>
    <w:rsid w:val="50BB44BC"/>
    <w:rsid w:val="50DE6667"/>
    <w:rsid w:val="50DF79C4"/>
    <w:rsid w:val="5104202D"/>
    <w:rsid w:val="510A1A87"/>
    <w:rsid w:val="514C35D1"/>
    <w:rsid w:val="51764300"/>
    <w:rsid w:val="51B03B5F"/>
    <w:rsid w:val="51F91F6F"/>
    <w:rsid w:val="520512A9"/>
    <w:rsid w:val="52470837"/>
    <w:rsid w:val="52D418A8"/>
    <w:rsid w:val="53000B16"/>
    <w:rsid w:val="533C1422"/>
    <w:rsid w:val="53650979"/>
    <w:rsid w:val="53902990"/>
    <w:rsid w:val="53F51CFD"/>
    <w:rsid w:val="5498210B"/>
    <w:rsid w:val="54CC4C08"/>
    <w:rsid w:val="551C150B"/>
    <w:rsid w:val="557D644E"/>
    <w:rsid w:val="558A26B0"/>
    <w:rsid w:val="55FD7BA1"/>
    <w:rsid w:val="56600165"/>
    <w:rsid w:val="56A560FB"/>
    <w:rsid w:val="56BF5C86"/>
    <w:rsid w:val="57020EAF"/>
    <w:rsid w:val="573A094A"/>
    <w:rsid w:val="575B45B2"/>
    <w:rsid w:val="577963D9"/>
    <w:rsid w:val="57802226"/>
    <w:rsid w:val="57836CED"/>
    <w:rsid w:val="5846521D"/>
    <w:rsid w:val="58711B6E"/>
    <w:rsid w:val="58727DC0"/>
    <w:rsid w:val="58A049B4"/>
    <w:rsid w:val="58A8126D"/>
    <w:rsid w:val="58B145AF"/>
    <w:rsid w:val="58B32187"/>
    <w:rsid w:val="592A2449"/>
    <w:rsid w:val="592F7A5F"/>
    <w:rsid w:val="59F5478B"/>
    <w:rsid w:val="5A100312"/>
    <w:rsid w:val="5A2641CF"/>
    <w:rsid w:val="5AA76857"/>
    <w:rsid w:val="5ADA1C4D"/>
    <w:rsid w:val="5B133EDB"/>
    <w:rsid w:val="5B2E196B"/>
    <w:rsid w:val="5B4041A6"/>
    <w:rsid w:val="5B561CFC"/>
    <w:rsid w:val="5B5C58BF"/>
    <w:rsid w:val="5C163158"/>
    <w:rsid w:val="5C1967A5"/>
    <w:rsid w:val="5C310905"/>
    <w:rsid w:val="5CA16EC6"/>
    <w:rsid w:val="5D150B66"/>
    <w:rsid w:val="5D6B213B"/>
    <w:rsid w:val="5D753EAF"/>
    <w:rsid w:val="5D834E93"/>
    <w:rsid w:val="5E553F6C"/>
    <w:rsid w:val="5E6E2DD8"/>
    <w:rsid w:val="5E8819C0"/>
    <w:rsid w:val="5EF479AD"/>
    <w:rsid w:val="5F17346F"/>
    <w:rsid w:val="5FCA6734"/>
    <w:rsid w:val="60554C43"/>
    <w:rsid w:val="60884473"/>
    <w:rsid w:val="60980D4F"/>
    <w:rsid w:val="61606AA0"/>
    <w:rsid w:val="617F52FC"/>
    <w:rsid w:val="61CB22EF"/>
    <w:rsid w:val="627B4AE2"/>
    <w:rsid w:val="62C5467D"/>
    <w:rsid w:val="634C56B2"/>
    <w:rsid w:val="63DE4A21"/>
    <w:rsid w:val="63EA73A4"/>
    <w:rsid w:val="6522491C"/>
    <w:rsid w:val="65274410"/>
    <w:rsid w:val="659F5F6D"/>
    <w:rsid w:val="65B40043"/>
    <w:rsid w:val="65D33CF5"/>
    <w:rsid w:val="66EE416C"/>
    <w:rsid w:val="67002A3B"/>
    <w:rsid w:val="67091408"/>
    <w:rsid w:val="672F1572"/>
    <w:rsid w:val="674D05B9"/>
    <w:rsid w:val="67563079"/>
    <w:rsid w:val="6780592A"/>
    <w:rsid w:val="67DD4B2A"/>
    <w:rsid w:val="68833F24"/>
    <w:rsid w:val="68B0223F"/>
    <w:rsid w:val="693E3CEF"/>
    <w:rsid w:val="69EB1780"/>
    <w:rsid w:val="6AA07C72"/>
    <w:rsid w:val="6ADF1AC9"/>
    <w:rsid w:val="6B3709F5"/>
    <w:rsid w:val="6B3B011D"/>
    <w:rsid w:val="6C612CB3"/>
    <w:rsid w:val="6C7A503E"/>
    <w:rsid w:val="6C860716"/>
    <w:rsid w:val="6C8B49D9"/>
    <w:rsid w:val="6CAB169B"/>
    <w:rsid w:val="6D0050A9"/>
    <w:rsid w:val="6D91263F"/>
    <w:rsid w:val="6D927948"/>
    <w:rsid w:val="6E2D119A"/>
    <w:rsid w:val="6E313E22"/>
    <w:rsid w:val="6E91041D"/>
    <w:rsid w:val="6E9D5013"/>
    <w:rsid w:val="6F0C1BBE"/>
    <w:rsid w:val="6F3516F0"/>
    <w:rsid w:val="6F5E3DCA"/>
    <w:rsid w:val="6F60676D"/>
    <w:rsid w:val="6F9603E0"/>
    <w:rsid w:val="6FFC2FC7"/>
    <w:rsid w:val="70346A9A"/>
    <w:rsid w:val="704E0BC1"/>
    <w:rsid w:val="70F36D1D"/>
    <w:rsid w:val="71381023"/>
    <w:rsid w:val="71687C83"/>
    <w:rsid w:val="71834994"/>
    <w:rsid w:val="71D46F9E"/>
    <w:rsid w:val="71D84CE0"/>
    <w:rsid w:val="72117A20"/>
    <w:rsid w:val="726E73F3"/>
    <w:rsid w:val="727147ED"/>
    <w:rsid w:val="72BA40C8"/>
    <w:rsid w:val="72D14BC6"/>
    <w:rsid w:val="72F40FD7"/>
    <w:rsid w:val="731D2DBA"/>
    <w:rsid w:val="73506AF8"/>
    <w:rsid w:val="73575F80"/>
    <w:rsid w:val="7389291F"/>
    <w:rsid w:val="73CB36C5"/>
    <w:rsid w:val="748F4FFD"/>
    <w:rsid w:val="75260D1D"/>
    <w:rsid w:val="755F4EE5"/>
    <w:rsid w:val="756069FF"/>
    <w:rsid w:val="75CA1A3E"/>
    <w:rsid w:val="76250998"/>
    <w:rsid w:val="762F50EB"/>
    <w:rsid w:val="76D954EA"/>
    <w:rsid w:val="77701517"/>
    <w:rsid w:val="77900F06"/>
    <w:rsid w:val="77910638"/>
    <w:rsid w:val="77F751FE"/>
    <w:rsid w:val="781B014D"/>
    <w:rsid w:val="788A4B76"/>
    <w:rsid w:val="78E421BD"/>
    <w:rsid w:val="796055BB"/>
    <w:rsid w:val="7AA91120"/>
    <w:rsid w:val="7AC51B7A"/>
    <w:rsid w:val="7AE55674"/>
    <w:rsid w:val="7B6969A9"/>
    <w:rsid w:val="7BBC11CF"/>
    <w:rsid w:val="7C5001BA"/>
    <w:rsid w:val="7C5E4034"/>
    <w:rsid w:val="7CCF6CE0"/>
    <w:rsid w:val="7D627B54"/>
    <w:rsid w:val="7E01111B"/>
    <w:rsid w:val="7E10135E"/>
    <w:rsid w:val="7E1626EC"/>
    <w:rsid w:val="7E21356B"/>
    <w:rsid w:val="7E386B07"/>
    <w:rsid w:val="7E722019"/>
    <w:rsid w:val="7E891110"/>
    <w:rsid w:val="7EE86CE3"/>
    <w:rsid w:val="7F2552DD"/>
    <w:rsid w:val="7F503A2D"/>
    <w:rsid w:val="7FCF6FF7"/>
    <w:rsid w:val="7FDE18E1"/>
    <w:rsid w:val="7FF60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qFormat/>
    <w:uiPriority w:val="0"/>
    <w:pPr>
      <w:keepNext/>
      <w:keepLines/>
      <w:spacing w:before="50" w:beforeLines="50" w:after="50" w:afterLines="50" w:line="480" w:lineRule="auto"/>
      <w:outlineLvl w:val="0"/>
    </w:pPr>
    <w:rPr>
      <w:rFonts w:eastAsia="黑体"/>
      <w:kern w:val="44"/>
      <w:sz w:val="32"/>
    </w:rPr>
  </w:style>
  <w:style w:type="paragraph" w:styleId="3">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14:ligatures w14:val="none"/>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rFonts w:ascii="宋体"/>
      <w:b/>
      <w:lang w:val="zh-CN"/>
    </w:rPr>
  </w:style>
  <w:style w:type="paragraph" w:styleId="5">
    <w:name w:val="Plain Text"/>
    <w:basedOn w:val="1"/>
    <w:next w:val="1"/>
    <w:qFormat/>
    <w:uiPriority w:val="0"/>
    <w:rPr>
      <w:rFonts w:ascii="宋体" w:hAnsi="Courier New"/>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themeColor="hyperlink"/>
      <w:u w:val="single"/>
      <w14:textFill>
        <w14:solidFill>
          <w14:schemeClr w14:val="hlink"/>
        </w14:solidFill>
      </w14:textFill>
    </w:rPr>
  </w:style>
  <w:style w:type="character" w:styleId="13">
    <w:name w:val="footnote reference"/>
    <w:basedOn w:val="11"/>
    <w:semiHidden/>
    <w:unhideWhenUsed/>
    <w:qFormat/>
    <w:uiPriority w:val="99"/>
    <w:rPr>
      <w:vertAlign w:val="superscript"/>
    </w:rPr>
  </w:style>
  <w:style w:type="character" w:customStyle="1" w:styleId="14">
    <w:name w:val="标题 2 字符"/>
    <w:basedOn w:val="11"/>
    <w:link w:val="3"/>
    <w:qFormat/>
    <w:uiPriority w:val="9"/>
    <w:rPr>
      <w:rFonts w:ascii="宋体" w:hAnsi="宋体" w:eastAsia="宋体" w:cs="宋体"/>
      <w:b/>
      <w:bCs/>
      <w:kern w:val="0"/>
      <w:sz w:val="36"/>
      <w:szCs w:val="36"/>
      <w14:ligatures w14:val="none"/>
    </w:rPr>
  </w:style>
  <w:style w:type="character" w:customStyle="1" w:styleId="15">
    <w:name w:val="页眉 字符"/>
    <w:basedOn w:val="11"/>
    <w:link w:val="7"/>
    <w:qFormat/>
    <w:uiPriority w:val="99"/>
    <w:rPr>
      <w:rFonts w:asciiTheme="minorHAnsi" w:hAnsiTheme="minorHAnsi" w:eastAsiaTheme="minorEastAsia" w:cstheme="minorBidi"/>
      <w:kern w:val="2"/>
      <w:sz w:val="18"/>
      <w:szCs w:val="18"/>
      <w14:ligatures w14:val="standardContextual"/>
    </w:rPr>
  </w:style>
  <w:style w:type="character" w:customStyle="1" w:styleId="16">
    <w:name w:val="页脚 字符"/>
    <w:basedOn w:val="11"/>
    <w:link w:val="6"/>
    <w:qFormat/>
    <w:uiPriority w:val="99"/>
    <w:rPr>
      <w:rFonts w:asciiTheme="minorHAnsi" w:hAnsiTheme="minorHAnsi" w:eastAsiaTheme="minorEastAsia" w:cstheme="minorBidi"/>
      <w:kern w:val="2"/>
      <w:sz w:val="18"/>
      <w:szCs w:val="18"/>
      <w14:ligatures w14:val="standardContextual"/>
    </w:rPr>
  </w:style>
  <w:style w:type="paragraph" w:customStyle="1" w:styleId="17">
    <w:name w:val="修订1"/>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18">
    <w:name w:val="font11"/>
    <w:basedOn w:val="11"/>
    <w:qFormat/>
    <w:uiPriority w:val="0"/>
    <w:rPr>
      <w:rFonts w:hint="eastAsia" w:ascii="微软雅黑" w:hAnsi="微软雅黑" w:eastAsia="微软雅黑" w:cs="微软雅黑"/>
      <w:b/>
      <w:bCs/>
      <w:color w:val="000000"/>
      <w:sz w:val="18"/>
      <w:szCs w:val="18"/>
      <w:u w:val="none"/>
    </w:rPr>
  </w:style>
  <w:style w:type="paragraph" w:styleId="19">
    <w:name w:val="List Paragraph"/>
    <w:basedOn w:val="1"/>
    <w:unhideWhenUsed/>
    <w:qFormat/>
    <w:uiPriority w:val="99"/>
    <w:pPr>
      <w:ind w:firstLine="420" w:firstLineChars="200"/>
    </w:pPr>
  </w:style>
  <w:style w:type="character" w:customStyle="1" w:styleId="20">
    <w:name w:val="font21"/>
    <w:basedOn w:val="11"/>
    <w:qFormat/>
    <w:uiPriority w:val="0"/>
    <w:rPr>
      <w:rFonts w:hint="eastAsia" w:ascii="宋体" w:hAnsi="宋体" w:eastAsia="宋体" w:cs="宋体"/>
      <w:color w:val="000000"/>
      <w:sz w:val="21"/>
      <w:szCs w:val="21"/>
      <w:u w:val="none"/>
    </w:rPr>
  </w:style>
  <w:style w:type="character" w:customStyle="1" w:styleId="21">
    <w:name w:val="font71"/>
    <w:basedOn w:val="11"/>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3772</Words>
  <Characters>4153</Characters>
  <Lines>46</Lines>
  <Paragraphs>12</Paragraphs>
  <TotalTime>30</TotalTime>
  <ScaleCrop>false</ScaleCrop>
  <LinksUpToDate>false</LinksUpToDate>
  <CharactersWithSpaces>4238</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2023-11-10T12:46:00Z</dcterms:created>
  <dc:creator>yihan dong</dc:creator>
  <cp:lastModifiedBy>赵珣阳</cp:lastModifiedBy>
  <cp:lastPrinted>2023-11-14T11:11:41Z</cp:lastPrinted>
  <dcterms:modified xsi:type="dcterms:W3CDTF">2023-11-14T11:24:22Z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6AAC6E2B67194CA4A31C76480EC31467_13</vt:lpwstr>
  </property>
</Properties>
</file>